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1041"/>
        <w:jc w:val="center"/>
        <w:rPr>
          <w:rFonts w:ascii="Times New Roman" w:hAnsi="Times New Roman" w:eastAsia="华文中宋" w:cs="宋体"/>
          <w:b/>
          <w:kern w:val="0"/>
          <w:sz w:val="52"/>
          <w:szCs w:val="52"/>
        </w:rPr>
      </w:pPr>
    </w:p>
    <w:p>
      <w:pPr>
        <w:spacing w:line="540" w:lineRule="exact"/>
        <w:ind w:firstLine="1041"/>
        <w:jc w:val="center"/>
        <w:rPr>
          <w:rFonts w:ascii="Times New Roman" w:hAnsi="Times New Roman" w:eastAsia="华文中宋" w:cs="宋体"/>
          <w:b/>
          <w:kern w:val="0"/>
          <w:sz w:val="52"/>
          <w:szCs w:val="52"/>
        </w:rPr>
      </w:pPr>
    </w:p>
    <w:p>
      <w:pPr>
        <w:spacing w:line="540" w:lineRule="exact"/>
        <w:ind w:firstLine="1041"/>
        <w:jc w:val="center"/>
        <w:rPr>
          <w:rFonts w:ascii="Times New Roman" w:hAnsi="Times New Roman" w:eastAsia="华文中宋" w:cs="宋体"/>
          <w:b/>
          <w:kern w:val="0"/>
          <w:sz w:val="52"/>
          <w:szCs w:val="52"/>
        </w:rPr>
      </w:pPr>
    </w:p>
    <w:p>
      <w:pPr>
        <w:spacing w:line="540" w:lineRule="exact"/>
        <w:ind w:firstLine="1041"/>
        <w:rPr>
          <w:rFonts w:ascii="Times New Roman" w:hAnsi="Times New Roman" w:eastAsia="华文中宋" w:cs="宋体"/>
          <w:b/>
          <w:kern w:val="0"/>
          <w:sz w:val="52"/>
          <w:szCs w:val="52"/>
        </w:rPr>
      </w:pPr>
    </w:p>
    <w:p>
      <w:pPr>
        <w:spacing w:line="540" w:lineRule="exact"/>
        <w:ind w:firstLine="1041"/>
        <w:rPr>
          <w:rFonts w:ascii="Times New Roman" w:hAnsi="Times New Roman" w:eastAsia="华文中宋" w:cs="宋体"/>
          <w:b/>
          <w:kern w:val="0"/>
          <w:sz w:val="52"/>
          <w:szCs w:val="52"/>
        </w:rPr>
      </w:pPr>
    </w:p>
    <w:p>
      <w:pPr>
        <w:spacing w:line="540" w:lineRule="exact"/>
        <w:ind w:firstLine="1041"/>
        <w:jc w:val="center"/>
        <w:rPr>
          <w:rFonts w:ascii="Times New Roman" w:hAnsi="Times New Roman" w:eastAsia="华文中宋" w:cs="宋体"/>
          <w:b/>
          <w:kern w:val="0"/>
          <w:sz w:val="52"/>
          <w:szCs w:val="52"/>
        </w:rPr>
      </w:pPr>
    </w:p>
    <w:p>
      <w:pPr>
        <w:spacing w:line="540" w:lineRule="exact"/>
        <w:ind w:firstLine="960"/>
        <w:jc w:val="center"/>
        <w:rPr>
          <w:rFonts w:ascii="Times New Roman" w:hAnsi="Times New Roman" w:eastAsia="方正小标宋_GBK" w:cs="宋体"/>
          <w:bCs/>
          <w:kern w:val="0"/>
          <w:sz w:val="48"/>
          <w:szCs w:val="48"/>
        </w:rPr>
      </w:pPr>
      <w:r>
        <w:rPr>
          <w:rFonts w:hint="eastAsia" w:ascii="Times New Roman" w:hAnsi="Times New Roman" w:eastAsia="方正小标宋_GBK" w:cs="宋体"/>
          <w:bCs/>
          <w:kern w:val="0"/>
          <w:sz w:val="48"/>
          <w:szCs w:val="48"/>
        </w:rPr>
        <w:t>自治区医疗保障局整体支出绩效</w:t>
      </w:r>
    </w:p>
    <w:p>
      <w:pPr>
        <w:spacing w:line="540" w:lineRule="exact"/>
        <w:ind w:firstLine="960"/>
        <w:jc w:val="center"/>
        <w:rPr>
          <w:rFonts w:ascii="Times New Roman" w:hAnsi="Times New Roman" w:eastAsia="方正小标宋_GBK" w:cs="宋体"/>
          <w:bCs/>
          <w:kern w:val="0"/>
          <w:sz w:val="48"/>
          <w:szCs w:val="48"/>
        </w:rPr>
      </w:pPr>
      <w:r>
        <w:rPr>
          <w:rFonts w:hint="eastAsia" w:ascii="Times New Roman" w:hAnsi="Times New Roman" w:eastAsia="方正小标宋_GBK" w:cs="宋体"/>
          <w:bCs/>
          <w:kern w:val="0"/>
          <w:sz w:val="48"/>
          <w:szCs w:val="48"/>
        </w:rPr>
        <w:t>自评报告</w:t>
      </w:r>
    </w:p>
    <w:p>
      <w:pPr>
        <w:spacing w:line="540" w:lineRule="exact"/>
        <w:ind w:firstLine="1041"/>
        <w:jc w:val="center"/>
        <w:rPr>
          <w:rFonts w:ascii="Times New Roman" w:hAnsi="Times New Roman" w:eastAsia="华文中宋" w:cs="宋体"/>
          <w:b/>
          <w:kern w:val="0"/>
          <w:sz w:val="52"/>
          <w:szCs w:val="52"/>
        </w:rPr>
      </w:pPr>
    </w:p>
    <w:p>
      <w:pPr>
        <w:spacing w:line="540" w:lineRule="exact"/>
        <w:ind w:firstLine="720"/>
        <w:jc w:val="center"/>
        <w:rPr>
          <w:rFonts w:ascii="Times New Roman" w:hAnsi="Times New Roman" w:eastAsia="仿宋_GB2312" w:cs="宋体"/>
          <w:kern w:val="0"/>
          <w:sz w:val="36"/>
          <w:szCs w:val="36"/>
        </w:rPr>
      </w:pPr>
      <w:r>
        <w:rPr>
          <w:rFonts w:hint="eastAsia" w:ascii="Times New Roman" w:hAnsi="Times New Roman" w:eastAsia="仿宋_GB2312" w:cs="宋体"/>
          <w:kern w:val="0"/>
          <w:sz w:val="36"/>
          <w:szCs w:val="36"/>
        </w:rPr>
        <w:t>（2024年度）</w:t>
      </w:r>
    </w:p>
    <w:p>
      <w:pPr>
        <w:spacing w:line="540" w:lineRule="exact"/>
        <w:ind w:firstLine="600"/>
        <w:jc w:val="center"/>
        <w:rPr>
          <w:rFonts w:ascii="Times New Roman" w:hAnsi="Times New Roman" w:eastAsia="仿宋_GB2312" w:cs="宋体"/>
          <w:kern w:val="0"/>
          <w:sz w:val="30"/>
          <w:szCs w:val="30"/>
        </w:rPr>
      </w:pPr>
    </w:p>
    <w:p>
      <w:pPr>
        <w:spacing w:line="540" w:lineRule="exact"/>
        <w:ind w:firstLine="600"/>
        <w:jc w:val="center"/>
        <w:rPr>
          <w:rFonts w:ascii="Times New Roman" w:hAnsi="Times New Roman" w:eastAsia="仿宋_GB2312" w:cs="宋体"/>
          <w:kern w:val="0"/>
          <w:sz w:val="30"/>
          <w:szCs w:val="30"/>
        </w:rPr>
      </w:pPr>
    </w:p>
    <w:p>
      <w:pPr>
        <w:spacing w:line="540" w:lineRule="exact"/>
        <w:ind w:firstLine="600"/>
        <w:jc w:val="center"/>
        <w:rPr>
          <w:rFonts w:ascii="Times New Roman" w:hAnsi="Times New Roman" w:eastAsia="仿宋_GB2312" w:cs="宋体"/>
          <w:kern w:val="0"/>
          <w:sz w:val="30"/>
          <w:szCs w:val="30"/>
        </w:rPr>
      </w:pPr>
    </w:p>
    <w:p>
      <w:pPr>
        <w:spacing w:line="540" w:lineRule="exact"/>
        <w:ind w:firstLine="600"/>
        <w:jc w:val="center"/>
        <w:rPr>
          <w:rFonts w:ascii="Times New Roman" w:hAnsi="Times New Roman" w:eastAsia="仿宋_GB2312" w:cs="宋体"/>
          <w:kern w:val="0"/>
          <w:sz w:val="30"/>
          <w:szCs w:val="30"/>
        </w:rPr>
      </w:pPr>
    </w:p>
    <w:p>
      <w:pPr>
        <w:spacing w:line="700" w:lineRule="exact"/>
        <w:ind w:firstLine="720"/>
        <w:jc w:val="left"/>
        <w:rPr>
          <w:rFonts w:ascii="Times New Roman" w:hAnsi="Times New Roman" w:eastAsia="仿宋_GB2312" w:cs="宋体"/>
          <w:kern w:val="0"/>
          <w:sz w:val="36"/>
          <w:szCs w:val="36"/>
        </w:rPr>
      </w:pPr>
    </w:p>
    <w:p>
      <w:pPr>
        <w:spacing w:line="700" w:lineRule="exact"/>
        <w:ind w:firstLine="720"/>
        <w:jc w:val="left"/>
        <w:rPr>
          <w:rFonts w:ascii="Times New Roman" w:hAnsi="Times New Roman" w:eastAsia="仿宋_GB2312" w:cs="宋体"/>
          <w:kern w:val="0"/>
          <w:sz w:val="36"/>
          <w:szCs w:val="36"/>
        </w:rPr>
      </w:pPr>
    </w:p>
    <w:p>
      <w:pPr>
        <w:spacing w:line="700" w:lineRule="exact"/>
        <w:ind w:firstLine="720"/>
        <w:jc w:val="left"/>
        <w:rPr>
          <w:rFonts w:ascii="Times New Roman" w:hAnsi="Times New Roman" w:eastAsia="仿宋_GB2312" w:cs="宋体"/>
          <w:kern w:val="0"/>
          <w:sz w:val="36"/>
          <w:szCs w:val="36"/>
        </w:rPr>
      </w:pPr>
    </w:p>
    <w:p>
      <w:pPr>
        <w:spacing w:line="700" w:lineRule="exact"/>
        <w:jc w:val="left"/>
        <w:rPr>
          <w:rFonts w:ascii="Times New Roman" w:hAnsi="Times New Roman" w:eastAsia="仿宋_GB2312" w:cs="宋体"/>
          <w:kern w:val="0"/>
          <w:sz w:val="32"/>
          <w:szCs w:val="32"/>
        </w:rPr>
      </w:pPr>
    </w:p>
    <w:p>
      <w:pPr>
        <w:spacing w:line="700" w:lineRule="exact"/>
        <w:jc w:val="left"/>
        <w:rPr>
          <w:rFonts w:ascii="Times New Roman" w:hAnsi="Times New Roman" w:eastAsia="仿宋_GB2312" w:cs="宋体"/>
          <w:kern w:val="0"/>
          <w:sz w:val="32"/>
          <w:szCs w:val="32"/>
        </w:rPr>
      </w:pPr>
    </w:p>
    <w:p>
      <w:pPr>
        <w:spacing w:line="700" w:lineRule="exact"/>
        <w:ind w:firstLine="320" w:firstLineChars="100"/>
        <w:jc w:val="left"/>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部门单位名称（公章）：新疆维吾尔自治区医疗保障局</w:t>
      </w:r>
    </w:p>
    <w:p>
      <w:pPr>
        <w:spacing w:line="700" w:lineRule="exact"/>
        <w:ind w:firstLine="320" w:firstLineChars="100"/>
        <w:jc w:val="left"/>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填报时间：2025年 3 月 31 日</w:t>
      </w:r>
    </w:p>
    <w:p>
      <w:pPr>
        <w:spacing w:line="700" w:lineRule="exact"/>
        <w:ind w:firstLine="849" w:firstLineChars="236"/>
        <w:jc w:val="left"/>
        <w:rPr>
          <w:rFonts w:ascii="Times New Roman" w:hAnsi="Times New Roman" w:eastAsia="仿宋_GB2312" w:cs="宋体"/>
          <w:kern w:val="0"/>
          <w:sz w:val="36"/>
          <w:szCs w:val="36"/>
        </w:rPr>
      </w:pPr>
    </w:p>
    <w:p>
      <w:pPr>
        <w:spacing w:line="700" w:lineRule="exact"/>
        <w:ind w:firstLine="849" w:firstLineChars="236"/>
        <w:jc w:val="left"/>
        <w:rPr>
          <w:rFonts w:ascii="Times New Roman" w:hAnsi="Times New Roman" w:eastAsia="仿宋_GB2312" w:cs="宋体"/>
          <w:kern w:val="0"/>
          <w:sz w:val="36"/>
          <w:szCs w:val="36"/>
        </w:rPr>
      </w:pPr>
    </w:p>
    <w:p>
      <w:pPr>
        <w:spacing w:line="56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为贯彻落实《中共中央国务院关于全面实施预算绩效管理的意见》（中发〔2018〕34号）的决策部署和自治区党委、人民政府工作要求，根据财政部《项目支出绩效评价管理办法》（财预〔2020〕10号）、《自治区党委自治区人民政府关于全面实施预算绩效管理的实施意见》（新党发〔2018〕30号）的要求，自治区医疗保障局聚焦社会稳定和长治久安总目标，践行高质量绩效评价，将各项工作推上新台阶。现将2024年度实施预算绩效工作情况报告如下：</w:t>
      </w:r>
    </w:p>
    <w:p>
      <w:pPr>
        <w:spacing w:line="560" w:lineRule="exact"/>
        <w:ind w:firstLine="960" w:firstLineChars="300"/>
        <w:rPr>
          <w:rFonts w:ascii="Times New Roman" w:hAnsi="Times New Roman" w:eastAsia="黑体" w:cs="黑体"/>
          <w:sz w:val="32"/>
          <w:szCs w:val="32"/>
        </w:rPr>
      </w:pPr>
      <w:r>
        <w:rPr>
          <w:rFonts w:hint="eastAsia" w:ascii="Times New Roman" w:hAnsi="Times New Roman" w:eastAsia="黑体" w:cs="黑体"/>
          <w:sz w:val="32"/>
          <w:szCs w:val="32"/>
        </w:rPr>
        <w:t>一、基本概况</w:t>
      </w:r>
    </w:p>
    <w:p>
      <w:pPr>
        <w:spacing w:line="540" w:lineRule="exact"/>
        <w:ind w:firstLine="567" w:firstLineChars="181"/>
        <w:rPr>
          <w:rStyle w:val="7"/>
          <w:rFonts w:ascii="方正楷体_GB2312" w:hAnsi="方正楷体_GB2312" w:eastAsia="方正楷体_GB2312" w:cs="方正楷体_GB2312"/>
          <w:bCs w:val="0"/>
          <w:spacing w:val="-4"/>
          <w:sz w:val="32"/>
          <w:szCs w:val="32"/>
        </w:rPr>
      </w:pPr>
      <w:r>
        <w:rPr>
          <w:rStyle w:val="7"/>
          <w:rFonts w:hint="eastAsia" w:ascii="方正楷体_GB2312" w:hAnsi="方正楷体_GB2312" w:eastAsia="方正楷体_GB2312" w:cs="方正楷体_GB2312"/>
          <w:bCs w:val="0"/>
          <w:spacing w:val="-4"/>
          <w:sz w:val="32"/>
          <w:szCs w:val="32"/>
        </w:rPr>
        <w:t>（一）部门单位基本情况</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1.主要职能</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1）贯彻实施国家医疗保险、生育保险、医疗救助等医疗保障制度，拟订医疗保障制度的法规规章草案、政策、规划和标准并组织实施；拟订人身意外伤害保险、大额医疗补助、公务员医疗补助、企事业单位补充医疗保险、离休人员和优抚对象医疗保障等政策、管理办法并组织实施；拟订并组织实施自治区本级医疗保险、生育保险等政策。</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（2）组织制定并实施医疗保障基金监督管理办法，建立健全医疗保障基金安全防控机制，承担推进医疗保障基金支付方式，编制自治区医疗保障基金预决算草案。</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（3）组织拟订医疗保障筹资和待遇政策，完善动态调整和区域调剂平衡机制，统筹城乡医疗保障待遇标准，建立健全与筹资水平相适应的待遇调整机制。拟订贯彻长期护理保险制度改革的方案并组织实施。</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4）组织拟订药品、医用耗材价格和医疗服务项目、医疗服务设施收费等政策并监督实施，拟订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（5）组织制定药品、医用耗材、医疗服务项目、医疗服务设施等医保目录和支付标准，建立动态调整机制。</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6）制定定点医药机构协议和支付管理办法并组织实施，建立健全医疗保障信用评价体系和信息披露制度，监督管理纳入医保范围内的医疗服务行为和医疗费用，依法查处医疗保障、生育保险领域违法违规行为。</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7）负责医疗保障经办管理、公共服务体系和信息化建设。贯彻落实国家跨省异地就医管理和费用结算政策，组织制定疆内异地就医和费用结算政策。建立健全医疗保障关系转移接续制度。指导医疗保障经办机构开展业务工作。</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（8）完成自治区党委、自治区人民政府交办的其他任务。</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9）职能转变。自治区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10）与自治区卫生健康委员会的有关职责分工。自治区卫生健康委员会、自治区医疗保障局等部门在医疗、医保、医药等方面加强制度、政策衔接，建立沟通协商机制，协同推进改革，提高医疗资源使用效率和医疗保障水平。</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2.机构人员构成</w:t>
      </w:r>
    </w:p>
    <w:p>
      <w:pPr>
        <w:spacing w:line="56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自治区医疗保障局（含事业发展中心）编制数95名，截止到2024年年末，实有人数92人。</w:t>
      </w:r>
    </w:p>
    <w:p>
      <w:pPr>
        <w:spacing w:line="540" w:lineRule="exact"/>
        <w:ind w:firstLine="567" w:firstLineChars="181"/>
        <w:rPr>
          <w:rStyle w:val="7"/>
          <w:rFonts w:ascii="方正楷体_GB2312" w:hAnsi="方正楷体_GB2312" w:eastAsia="方正楷体_GB2312" w:cs="方正楷体_GB2312"/>
          <w:bCs w:val="0"/>
          <w:spacing w:val="-4"/>
          <w:sz w:val="32"/>
          <w:szCs w:val="32"/>
        </w:rPr>
      </w:pPr>
      <w:r>
        <w:rPr>
          <w:rStyle w:val="7"/>
          <w:rFonts w:hint="eastAsia" w:ascii="方正楷体_GB2312" w:hAnsi="方正楷体_GB2312" w:eastAsia="方正楷体_GB2312" w:cs="方正楷体_GB2312"/>
          <w:bCs w:val="0"/>
          <w:spacing w:val="-4"/>
          <w:sz w:val="32"/>
          <w:szCs w:val="32"/>
        </w:rPr>
        <w:t>（二）部门单位年度重点工作</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1.年度工作计划</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自治区医疗保障局坚持以习近平新时代中国特色社会主义思想为指导，全面贯彻落实党</w:t>
      </w:r>
      <w:bookmarkStart w:id="0" w:name="_GoBack"/>
      <w:bookmarkEnd w:id="0"/>
      <w:r>
        <w:rPr>
          <w:rFonts w:hint="eastAsia" w:ascii="仿宋_GB2312" w:hAnsi="仿宋_GB2312" w:eastAsia="仿宋_GB2312" w:cs="仿宋_GB2312"/>
          <w:bCs/>
          <w:kern w:val="0"/>
          <w:sz w:val="32"/>
          <w:szCs w:val="32"/>
        </w:rPr>
        <w:t>的二十大精神，深入学习贯彻习近平总书记视察新疆、听取自治区和兵团汇报时重要讲话精神，完整准确全面贯彻新时代党的治疆方略，牢牢扭住新疆工作总目标，学习贯彻落实党中央、国务院和自治区党委、政府的决策部署。深入贯彻落实2024年全国医疗保障工作会议精神、坚持人民至上的服务理念，在便民服务上出实招，不断提升医保政务服务的便捷化水平，切实增强人民群众的获得感、幸福感、安全感，为推进全区医疗保障事业高质量发展而不懈努力。</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2.机构人员保障情况</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自治区医疗保障局包括局机关及1个直属行政（事业）单位。单位内设7个处室和2个中心，分别为办公室、规划财务和法规处、待遇保障处、医药服务管理处、医药价格和招标采购处、基金监管处、机关党委(人事处)、自治区医疗保障事业发展中心、自治区医疗保障监测和和电子结算中心。</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具体人员保障情况为：截止到2024年12月31日，我部门保障实有在职人员为92人。</w:t>
      </w:r>
    </w:p>
    <w:p>
      <w:pPr>
        <w:spacing w:line="540" w:lineRule="exact"/>
        <w:ind w:firstLine="567" w:firstLineChars="181"/>
        <w:rPr>
          <w:rStyle w:val="7"/>
          <w:rFonts w:ascii="方正楷体_GB2312" w:hAnsi="方正楷体_GB2312" w:eastAsia="方正楷体_GB2312" w:cs="方正楷体_GB2312"/>
          <w:bCs w:val="0"/>
          <w:spacing w:val="-4"/>
          <w:sz w:val="32"/>
          <w:szCs w:val="32"/>
        </w:rPr>
      </w:pPr>
      <w:r>
        <w:rPr>
          <w:rStyle w:val="7"/>
          <w:rFonts w:hint="eastAsia" w:ascii="方正楷体_GB2312" w:hAnsi="方正楷体_GB2312" w:eastAsia="方正楷体_GB2312" w:cs="方正楷体_GB2312"/>
          <w:bCs w:val="0"/>
          <w:spacing w:val="-4"/>
          <w:sz w:val="32"/>
          <w:szCs w:val="32"/>
        </w:rPr>
        <w:t>（三）部门单位整体预算规模及安排情况</w:t>
      </w:r>
    </w:p>
    <w:p>
      <w:pPr>
        <w:spacing w:line="540" w:lineRule="exact"/>
        <w:ind w:firstLine="627" w:firstLineChars="200"/>
        <w:rPr>
          <w:rFonts w:ascii="Times New Roman" w:hAnsi="Times New Roman" w:eastAsia="仿宋_GB2312"/>
          <w:b/>
          <w:spacing w:val="-4"/>
          <w:sz w:val="32"/>
          <w:szCs w:val="32"/>
        </w:rPr>
      </w:pPr>
      <w:r>
        <w:rPr>
          <w:rStyle w:val="7"/>
          <w:rFonts w:hint="eastAsia" w:ascii="仿宋_GB2312" w:hAnsi="仿宋_GB2312" w:eastAsia="仿宋_GB2312" w:cs="仿宋_GB2312"/>
          <w:bCs w:val="0"/>
          <w:spacing w:val="-4"/>
          <w:sz w:val="32"/>
          <w:szCs w:val="32"/>
        </w:rPr>
        <w:t>1.年初预算安排</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2024年我部门年初安排预算数为207813.72元，其中:上级安排0万元,本级安排207813.22万元，其他资金0.5万元。</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2.预算年中调整情况</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我部门年初批复预算数207813.72万元，年中调整数0万元，调整后全年预算数207813.22万元，预算调整率0%。</w:t>
      </w:r>
    </w:p>
    <w:p>
      <w:pPr>
        <w:spacing w:line="560" w:lineRule="exact"/>
        <w:ind w:firstLine="627" w:firstLineChars="200"/>
        <w:rPr>
          <w:rFonts w:ascii="Times New Roman" w:hAnsi="Times New Roman" w:eastAsia="仿宋_GB2312"/>
          <w:b/>
          <w:spacing w:val="-4"/>
          <w:sz w:val="32"/>
          <w:szCs w:val="32"/>
        </w:rPr>
      </w:pPr>
      <w:r>
        <w:rPr>
          <w:rStyle w:val="7"/>
          <w:rFonts w:hint="eastAsia" w:ascii="仿宋_GB2312" w:hAnsi="仿宋_GB2312" w:eastAsia="仿宋_GB2312" w:cs="仿宋_GB2312"/>
          <w:bCs w:val="0"/>
          <w:spacing w:val="-4"/>
          <w:sz w:val="32"/>
          <w:szCs w:val="32"/>
        </w:rPr>
        <w:t>3.资金使用主要内容、涉及的范围</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2024年我部门全年预算数为207813.72万元，其中:上级安排0万元,本级安排207813.22万元，其他资金0.5万元。全年实际支出资金207813.72万元，预算执行率为100%。其中:上级安排0万元,本级安排207813.22万元，其他资金0.5万元。</w:t>
      </w:r>
    </w:p>
    <w:p>
      <w:pPr>
        <w:spacing w:line="56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rPr>
        <w:t>二、部门单位整体支出管理及使用情况</w:t>
      </w:r>
    </w:p>
    <w:p>
      <w:pPr>
        <w:spacing w:line="540" w:lineRule="exact"/>
        <w:ind w:firstLine="567" w:firstLineChars="181"/>
        <w:rPr>
          <w:rStyle w:val="7"/>
          <w:rFonts w:ascii="方正楷体_GB2312" w:hAnsi="方正楷体_GB2312" w:eastAsia="方正楷体_GB2312" w:cs="方正楷体_GB2312"/>
          <w:bCs w:val="0"/>
          <w:spacing w:val="-4"/>
          <w:sz w:val="32"/>
          <w:szCs w:val="32"/>
        </w:rPr>
      </w:pPr>
      <w:r>
        <w:rPr>
          <w:rStyle w:val="7"/>
          <w:rFonts w:hint="eastAsia" w:ascii="方正楷体_GB2312" w:hAnsi="方正楷体_GB2312" w:eastAsia="方正楷体_GB2312" w:cs="方正楷体_GB2312"/>
          <w:bCs w:val="0"/>
          <w:spacing w:val="-4"/>
          <w:sz w:val="32"/>
          <w:szCs w:val="32"/>
        </w:rPr>
        <w:t>（一）预算管理情况</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1.管理制度健全性</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本部门为加强预算管理、规范财务行为，已制定《新疆维吾尔自治区医疗保障局预算绩效管理工作实施办法》、《新疆维吾尔自治区医疗保障局财务管理制度》等健全完整的各项管理制度，有效保障了我局高效的履行工作职能，较好的促进了新疆维吾尔自治区医保事业的发展。</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2.资金使用合规性和安全性</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部门预算资金使用符合国家法规和财务管理制度；预算资金拨付有完整的审批程序和手续，符合项目预算批复或合同规定的用途；不存在截留、挤占、挪用、虚列支出等情况，确保我部门预算资金规范运行。</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3.预决算信息公开性</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我部门严格按照财政部门预算编制与预算调整的工作要求，在预算编制、分配依据充分的条件下，切实做好“先定目标再编预算”，确保预算分配结果合理。同时按照新疆财政厅预决算信息公开工作要求，部门预算及绩效目标在政府网站公开，广泛接受社会监督。</w:t>
      </w:r>
    </w:p>
    <w:p>
      <w:pPr>
        <w:spacing w:line="540" w:lineRule="exact"/>
        <w:ind w:firstLine="567" w:firstLineChars="181"/>
        <w:rPr>
          <w:rStyle w:val="7"/>
          <w:rFonts w:ascii="方正楷体_GB2312" w:hAnsi="方正楷体_GB2312" w:eastAsia="方正楷体_GB2312" w:cs="方正楷体_GB2312"/>
          <w:bCs w:val="0"/>
          <w:spacing w:val="-4"/>
          <w:sz w:val="32"/>
          <w:szCs w:val="32"/>
        </w:rPr>
      </w:pPr>
      <w:r>
        <w:rPr>
          <w:rStyle w:val="7"/>
          <w:rFonts w:hint="eastAsia" w:ascii="方正楷体_GB2312" w:hAnsi="方正楷体_GB2312" w:eastAsia="方正楷体_GB2312" w:cs="方正楷体_GB2312"/>
          <w:bCs w:val="0"/>
          <w:spacing w:val="-4"/>
          <w:sz w:val="32"/>
          <w:szCs w:val="32"/>
        </w:rPr>
        <w:t>（二）基本支出投入、管理和使用情况</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1.基本支出投入和使用情况</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2024年我部门基本支出年初预算安排1832.52万元，全年预算总额1832.52万元，全年实际支出1832.52万元，资金执行率100%。占总支出的0.88％，其中：工资福利支出1702.32万元、商品和服务支出10.36万元、对个人和家庭的补助1.56万元、资本性支出0万元，其他支出118.28万元。</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2.基本支出管理情况</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基本支出严格按照财务管理制度执行。人员工资由相关部门逐个审核，按月申报及发放。基本公用经费主要用于支付单位日常的办公费、邮电费、差旅费、维修（护）费、劳务费、车辆运行维护费等。公务用车运行维护费主要用于单位车辆加油、维修及购买车辆保险。</w:t>
      </w:r>
    </w:p>
    <w:p>
      <w:pPr>
        <w:spacing w:line="540" w:lineRule="exact"/>
        <w:ind w:firstLine="567" w:firstLineChars="181"/>
        <w:rPr>
          <w:rStyle w:val="7"/>
          <w:rFonts w:ascii="方正楷体_GB2312" w:hAnsi="方正楷体_GB2312" w:eastAsia="方正楷体_GB2312" w:cs="方正楷体_GB2312"/>
          <w:bCs w:val="0"/>
          <w:spacing w:val="-4"/>
          <w:sz w:val="32"/>
          <w:szCs w:val="32"/>
        </w:rPr>
      </w:pPr>
      <w:r>
        <w:rPr>
          <w:rStyle w:val="7"/>
          <w:rFonts w:hint="eastAsia" w:ascii="方正楷体_GB2312" w:hAnsi="方正楷体_GB2312" w:eastAsia="方正楷体_GB2312" w:cs="方正楷体_GB2312"/>
          <w:bCs w:val="0"/>
          <w:spacing w:val="-4"/>
          <w:sz w:val="32"/>
          <w:szCs w:val="32"/>
        </w:rPr>
        <w:t>（三）项目专项支出投入、使用和管理情况</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1.项目专项支出投入和使用情况</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2024年专项项目年初预算205981.20万元，全年预算总投入205981.20万元，全年实际支出205981.20万元，资金执行率100%，占总支出的99.12％，其中:本级安排财政资金205980.70万元，其他资金0.5万元。</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2024年本部门单位共有13个项目，其中11个属经常性项目，2个属当年度新增项目。已完成项目13个、未完成项目0个。</w:t>
      </w:r>
    </w:p>
    <w:p>
      <w:pPr>
        <w:spacing w:line="560" w:lineRule="exact"/>
        <w:ind w:firstLine="627" w:firstLineChars="200"/>
        <w:rPr>
          <w:rStyle w:val="7"/>
          <w:rFonts w:ascii="Times New Roman" w:hAnsi="Times New Roman" w:eastAsia="仿宋_GB2312"/>
          <w:bCs w:val="0"/>
          <w:spacing w:val="-4"/>
          <w:sz w:val="32"/>
          <w:szCs w:val="32"/>
        </w:rPr>
      </w:pPr>
      <w:r>
        <w:rPr>
          <w:rStyle w:val="7"/>
          <w:rFonts w:hint="eastAsia" w:ascii="仿宋_GB2312" w:hAnsi="仿宋_GB2312" w:eastAsia="仿宋_GB2312" w:cs="仿宋_GB2312"/>
          <w:bCs w:val="0"/>
          <w:spacing w:val="-4"/>
          <w:sz w:val="32"/>
          <w:szCs w:val="32"/>
        </w:rPr>
        <w:t>2.项目专项支出管理情况</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为规范专项资金使用，提高专项资金使用效益，我部门主要采取四项措施。一是制订专项资金管理制度；二是各专项资金建立了专账；三是制订了项目实施方案；四是认真组织项目验收。切实确保专项资金都做到了专款专用。专项资金的使用符合国家法规和财务管理制度，专项资金拨付有完整的审批程序和手续，符合项目预算批复或合同规定的用途，不存在截留、挤占、挪用、虚列支出等情况。</w:t>
      </w:r>
    </w:p>
    <w:p>
      <w:pPr>
        <w:spacing w:line="56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rPr>
        <w:t>三、部门单位整体支出绩效分析</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我部门整体绩效目标共设置一级指标1个，二级指标2个，三级指标7个，详细说明如下：</w:t>
      </w:r>
    </w:p>
    <w:p>
      <w:pPr>
        <w:tabs>
          <w:tab w:val="left" w:pos="4462"/>
        </w:tabs>
        <w:spacing w:line="540" w:lineRule="exact"/>
        <w:ind w:firstLine="567" w:firstLineChars="181"/>
        <w:rPr>
          <w:rStyle w:val="7"/>
          <w:rFonts w:ascii="Times New Roman" w:hAnsi="Times New Roman" w:eastAsia="楷体" w:cs="楷体"/>
          <w:bCs w:val="0"/>
          <w:spacing w:val="-4"/>
          <w:sz w:val="32"/>
          <w:szCs w:val="32"/>
        </w:rPr>
      </w:pPr>
      <w:r>
        <w:rPr>
          <w:rStyle w:val="7"/>
          <w:rFonts w:hint="eastAsia" w:ascii="Times New Roman" w:hAnsi="Times New Roman" w:eastAsia="楷体" w:cs="楷体"/>
          <w:bCs w:val="0"/>
          <w:spacing w:val="-4"/>
          <w:sz w:val="32"/>
          <w:szCs w:val="32"/>
        </w:rPr>
        <w:t>履职效能</w:t>
      </w:r>
      <w:r>
        <w:rPr>
          <w:rStyle w:val="7"/>
          <w:rFonts w:ascii="Times New Roman" w:hAnsi="Times New Roman" w:eastAsia="楷体" w:cs="楷体"/>
          <w:bCs w:val="0"/>
          <w:spacing w:val="-4"/>
          <w:sz w:val="32"/>
          <w:szCs w:val="32"/>
        </w:rPr>
        <w:tab/>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1.数量指标：</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指标①：基本医疗保险参保人数，指标值：大于等于2000万人 ，年中监控完成值：2068.52万人；自评完成值：2088.09万人，指标完成率104.4%。指标成效分析：</w:t>
      </w:r>
      <w:r>
        <w:rPr>
          <w:rFonts w:ascii="仿宋_GB2312" w:hAnsi="仿宋_GB2312" w:eastAsia="仿宋_GB2312" w:cs="仿宋_GB2312"/>
          <w:bCs/>
          <w:kern w:val="0"/>
          <w:sz w:val="32"/>
          <w:szCs w:val="32"/>
        </w:rPr>
        <w:t>严格贯彻落实国务院办公厅印发《关于健全基本医疗保险参保长效机制的指导意见》，</w:t>
      </w:r>
      <w:r>
        <w:rPr>
          <w:rFonts w:hint="eastAsia" w:ascii="仿宋_GB2312" w:hAnsi="仿宋_GB2312" w:eastAsia="仿宋_GB2312" w:cs="仿宋_GB2312"/>
          <w:bCs/>
          <w:kern w:val="0"/>
          <w:sz w:val="32"/>
          <w:szCs w:val="32"/>
        </w:rPr>
        <w:t>进一步放开放宽参保户籍限制，明确连续参保和基金零报销激励政策，设置断保待遇等待期的约束机制，优化参保服务，明确2025年度居民医保个人缴费和财政补助标准分别提高20元和30元，自2016年以来个人缴费增加额度第三次低于财政补助增加额度，积极回应了群众</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少涨点</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的热切期盼。根据国家医疗保障局下发的户籍地未参保信息建立了全疆未参保人员信息库。</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偏差率4.4%，偏差原因：</w:t>
      </w:r>
      <w:r>
        <w:rPr>
          <w:rFonts w:ascii="仿宋_GB2312" w:hAnsi="仿宋_GB2312" w:eastAsia="仿宋_GB2312" w:cs="仿宋_GB2312"/>
          <w:bCs/>
          <w:kern w:val="0"/>
          <w:sz w:val="32"/>
          <w:szCs w:val="32"/>
        </w:rPr>
        <w:t>开放宽参保户籍限制</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明确连续参保和基金零报销激励政策，设置断保待遇等待期的约束机制，优化参保服务</w:t>
      </w:r>
      <w:r>
        <w:rPr>
          <w:rFonts w:hint="eastAsia" w:ascii="仿宋_GB2312" w:hAnsi="仿宋_GB2312" w:eastAsia="仿宋_GB2312" w:cs="仿宋_GB2312"/>
          <w:bCs/>
          <w:kern w:val="0"/>
          <w:sz w:val="32"/>
          <w:szCs w:val="32"/>
        </w:rPr>
        <w:t>，参保人数实现应保尽保，以上措施促使参保人数有所增加，实际完成值与目标值产生偏差。改进措施：今后根据工作实施和政策变化调整情况，进一步提升绩效目标设置的精准性，确保绩效目标如期实现。</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指标②：</w:t>
      </w:r>
      <w:r>
        <w:rPr>
          <w:rFonts w:ascii="仿宋_GB2312" w:hAnsi="仿宋_GB2312" w:eastAsia="仿宋_GB2312" w:cs="仿宋_GB2312"/>
          <w:bCs/>
          <w:kern w:val="0"/>
          <w:sz w:val="32"/>
          <w:szCs w:val="32"/>
        </w:rPr>
        <w:t>基金滚存结余可支配月数</w:t>
      </w:r>
      <w:r>
        <w:rPr>
          <w:rFonts w:hint="eastAsia" w:ascii="仿宋_GB2312" w:hAnsi="仿宋_GB2312" w:eastAsia="仿宋_GB2312" w:cs="仿宋_GB2312"/>
          <w:bCs/>
          <w:kern w:val="0"/>
          <w:sz w:val="32"/>
          <w:szCs w:val="32"/>
        </w:rPr>
        <w:t xml:space="preserve"> ，指标值：（6－9）个月，年中监控完成值：10个月；自评完成值：10个月，指标完成率111.11%。指标成效分析：我区实际完成基金滚存结余可支配月数为10个月，且各统筹区均不存在当期赤字情况，基金运行平稳，保障了参保人员待遇支付的稳定性。</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偏差率11.11%。偏差原因：2024年全民参保人数有序增加，参保人数扩面，医保基金增加，造成偏差。改进措施：根据政策及时调整绩效目标，降低实际完成值与目标值的偏差。</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指标③：公立医疗机构通过省级集中采购平台采购药品金额占全部采购药品(不含中药饮片)金额的比例 ，指标值：大于等于85% ，年中监控完成值：112.97%；自评完成值：85%，指标完成率100%。指标成效分析：依据《国家医疗保障局办公室医保办函》〔2023〕46号文：</w:t>
      </w:r>
    </w:p>
    <w:p>
      <w:pPr>
        <w:ind w:firstLine="624" w:firstLineChars="200"/>
        <w:rPr>
          <w:rStyle w:val="7"/>
          <w:rFonts w:ascii="Times New Roman" w:hAnsi="Times New Roman" w:eastAsia="仿宋_GB2312" w:cs="Times New Roman"/>
          <w:b w:val="0"/>
          <w:spacing w:val="-4"/>
          <w:sz w:val="32"/>
          <w:szCs w:val="32"/>
        </w:rPr>
      </w:pPr>
      <w:r>
        <w:rPr>
          <w:rStyle w:val="7"/>
          <w:rFonts w:hint="eastAsia" w:ascii="Times New Roman" w:hAnsi="Times New Roman" w:eastAsia="仿宋_GB2312" w:cs="Times New Roman"/>
          <w:b w:val="0"/>
          <w:spacing w:val="-4"/>
          <w:sz w:val="32"/>
          <w:szCs w:val="32"/>
        </w:rPr>
        <w:drawing>
          <wp:anchor distT="0" distB="0" distL="0" distR="0" simplePos="0" relativeHeight="251659264" behindDoc="1" locked="0" layoutInCell="1" allowOverlap="1">
            <wp:simplePos x="0" y="0"/>
            <wp:positionH relativeFrom="column">
              <wp:posOffset>2629535</wp:posOffset>
            </wp:positionH>
            <wp:positionV relativeFrom="paragraph">
              <wp:posOffset>47625</wp:posOffset>
            </wp:positionV>
            <wp:extent cx="1714500" cy="846455"/>
            <wp:effectExtent l="0" t="0" r="2540" b="4445"/>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5"/>
                    <a:stretch>
                      <a:fillRect/>
                    </a:stretch>
                  </pic:blipFill>
                  <pic:spPr>
                    <a:xfrm>
                      <a:off x="0" y="0"/>
                      <a:ext cx="1714500" cy="846455"/>
                    </a:xfrm>
                    <a:prstGeom prst="rect">
                      <a:avLst/>
                    </a:prstGeom>
                  </pic:spPr>
                </pic:pic>
              </a:graphicData>
            </a:graphic>
          </wp:anchor>
        </w:drawing>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网采率测算公式:</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注：</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（1）R 代表“公立医疗机构药品(高值医用耗材)网采率”。</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（2）d 代表“公立医疗机构药品(高值医用耗材)平台配送金额”(以配送时间为准)。</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（3）s代表“公立医疗机构医保结算清单药品(高值医用耗材) 费用”(含手工报销病人费用；含外省参保者在本省就医的费用，不含在外省就医的本省参保者的费用，即按照医疗机构所在地而非参保人所在地提取数据；含住院和门诊；以结算时间为准)。</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（4）z 代表“公立医疗机构参保患者药品(高值医用耗材)费 用占全部药品(高值医用耗材)费用的比例”(取省内20家代表公立医疗机构数据的平均值)。</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此公式的计算中未考虑医院库存药品和未进行网购的药品金额，故公式得出的比列高于100%，新疆医保局2024年网采率按上公式得出的网采率111.33%。如果考虑医院库存药品和未进行网购的药品金额，实际的网采率约为85%。</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偏差率0%。</w:t>
      </w:r>
    </w:p>
    <w:p>
      <w:pPr>
        <w:spacing w:line="540" w:lineRule="exact"/>
        <w:ind w:firstLine="567" w:firstLineChars="181"/>
        <w:rPr>
          <w:rStyle w:val="7"/>
          <w:rFonts w:ascii="仿宋_GB2312" w:hAnsi="仿宋_GB2312" w:eastAsia="仿宋_GB2312" w:cs="仿宋_GB2312"/>
          <w:bCs w:val="0"/>
          <w:spacing w:val="-4"/>
          <w:sz w:val="32"/>
          <w:szCs w:val="32"/>
        </w:rPr>
      </w:pPr>
      <w:r>
        <w:rPr>
          <w:rStyle w:val="7"/>
          <w:rFonts w:hint="eastAsia" w:ascii="仿宋_GB2312" w:hAnsi="仿宋_GB2312" w:eastAsia="仿宋_GB2312" w:cs="仿宋_GB2312"/>
          <w:bCs w:val="0"/>
          <w:spacing w:val="-4"/>
          <w:sz w:val="32"/>
          <w:szCs w:val="32"/>
        </w:rPr>
        <w:t>2.质量指标：</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指标①：基本医疗保险参保率，指标值：大于等于95% ，年中监控完成值：95%；自评完成值：95%，指标完成率100%。指标成效分析：我局会同自治区财政厅制定了《关于做好2024年我区城乡居民基本医疗保障工作的通知》新医保发〔2024〕53号，稳步实施2024年自治区基本医疗保险参保计划，明确全民参保目标任务，提升基本医疗参保质量，确保应保尽保、应助尽助，通过“全民参保计划”和部门联动机制，实现参保动态全覆盖，参保率持续稳定在95%以上。</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偏差率0%。</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指标②：全区支付改革方式覆盖率（统筹地区），指标值：大于等于95%，年中监控完成值：100%；自评完成值：100%，指标完成率105.26%。指标成效分析：根据国家支付方式改革三年行动计划要求,结合我区实际情况,制定并完善《自治区DRG/DIP支付方式改革三年行动计划实施方案》,医保支付2024年明显有了新转变，我区完成国家和自治区医保支付方式改革三年行动计划工作任务,已提前实现统筹地区全覆盖。</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偏差率5.26%，偏差原因：提前完成支付方式改革任务,实际完成值与目标值产生偏差。改进措施：今后根据国家相关政策及工作实施情况，及时对绩效目标进行调整，更加强化指标设置的精准度，降低实际完成值与目标值的偏差。</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指标③：职工基本医疗保险政策范围内住院费用基金支付比例 ，指标值：大于等于83% ，年中监控完成值：82.76%；自评完成值：87.29%，指标完成率105.17%。指标成效分析：根据国务院办公厅《“十四五”全民医疗保障规划》，职工基本医疗保险政策范围内住院费用基金支付比例稳定在80%左右,2024年，我区职工基本医疗保险政策范围内住院费用基金支付比例为87.29%，职工医保住院政策内费用个人自付比例下降，在职职工和退休人员人均住院自付费用减少，切实缓解了职工及家庭医疗支出压力。</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偏差率5.17%，偏差原因：2024年我局积极部署和推进医疗保障待遇清单制度三年行动，组织各统筹区开展“回头看”，规范基本医疗保险住院和大病保险起付标准、大病保险年度最高支付限额，确保实现医保制度、政策等规范统一。全区各统筹区全面完成职工医保门诊共济改革，职工门诊统筹基金由2023年的3000元提高至4000元。将个人账户共济范围由“配偶、父母、子女”扩大至近亲属及结亲户，并实现疆内共济。职工基本医疗保险政策范围内住院费用基金支付比例有所提高，与目标值产生偏差。改进措施：今后根据工作实施和政策变化调整情况，进一步提升绩效目标设置的精准性，降低偏差。</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指标④：城乡居民医保政策范围内住院费用报销比例，指标值：大于等于72% ，年中监控完成值：75.15%；自评完成值：75.57%，指标完成率104.96%，指标成效分析：超额完成目标任务。根据国务院办公厅《“十四五”全民医疗保障规划》，城乡居民医保政策范围内住院费用报销比例稳定在70%左右。2024年，我区城乡居民医保政策范围内住院费用报销比例为75.57%，通过提高报销比例，城乡居民住院政策内费用个人自付比例下降，人均住院自付费用减少，直接缓解群众“看病贵”的问题。</w:t>
      </w:r>
    </w:p>
    <w:p>
      <w:pPr>
        <w:spacing w:line="560" w:lineRule="exact"/>
        <w:ind w:firstLine="640" w:firstLineChars="200"/>
        <w:rPr>
          <w:rStyle w:val="7"/>
          <w:rFonts w:ascii="Times New Roman" w:hAnsi="Times New Roman" w:eastAsia="黑体"/>
          <w:b w:val="0"/>
          <w:bCs w:val="0"/>
          <w:spacing w:val="-4"/>
          <w:sz w:val="32"/>
          <w:szCs w:val="32"/>
        </w:rPr>
      </w:pPr>
      <w:r>
        <w:rPr>
          <w:rFonts w:hint="eastAsia" w:ascii="仿宋_GB2312" w:hAnsi="仿宋_GB2312" w:eastAsia="仿宋_GB2312" w:cs="仿宋_GB2312"/>
          <w:bCs/>
          <w:kern w:val="0"/>
          <w:sz w:val="32"/>
          <w:szCs w:val="32"/>
        </w:rPr>
        <w:t>偏差率4.96%，偏差原因：积极推进各项待遇保障政策，降低参保群众的自付比例，实际完成值与目标值有较小偏差。改进措施：今后根据工作实施和政策变化调整情况，进一步提升绩效目标设置的精准性，降低偏差。</w:t>
      </w:r>
    </w:p>
    <w:p>
      <w:pPr>
        <w:pStyle w:val="11"/>
        <w:snapToGrid w:val="0"/>
        <w:spacing w:line="540" w:lineRule="exact"/>
        <w:ind w:firstLine="624"/>
        <w:rPr>
          <w:rStyle w:val="7"/>
          <w:rFonts w:ascii="Times New Roman" w:hAnsi="Times New Roman" w:eastAsia="黑体"/>
          <w:b w:val="0"/>
          <w:bCs w:val="0"/>
          <w:spacing w:val="-4"/>
          <w:sz w:val="32"/>
          <w:szCs w:val="32"/>
        </w:rPr>
      </w:pPr>
      <w:r>
        <w:rPr>
          <w:rStyle w:val="7"/>
          <w:rFonts w:hint="eastAsia" w:ascii="Times New Roman" w:hAnsi="Times New Roman" w:eastAsia="黑体"/>
          <w:b w:val="0"/>
          <w:bCs w:val="0"/>
          <w:spacing w:val="-4"/>
          <w:sz w:val="32"/>
          <w:szCs w:val="32"/>
        </w:rPr>
        <w:t>四、评价结论</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2024年度部门整体支出绩效自评综合得分100分，评价结果为“优”。</w:t>
      </w:r>
    </w:p>
    <w:p>
      <w:pPr>
        <w:pStyle w:val="11"/>
        <w:snapToGrid w:val="0"/>
        <w:spacing w:line="540" w:lineRule="exact"/>
        <w:ind w:firstLine="624"/>
        <w:rPr>
          <w:rStyle w:val="7"/>
          <w:rFonts w:ascii="Times New Roman" w:hAnsi="Times New Roman" w:eastAsia="黑体" w:cs="Times New Roman"/>
          <w:b w:val="0"/>
          <w:bCs w:val="0"/>
          <w:spacing w:val="-4"/>
          <w:sz w:val="32"/>
          <w:szCs w:val="32"/>
        </w:rPr>
      </w:pPr>
      <w:r>
        <w:rPr>
          <w:rStyle w:val="7"/>
          <w:rFonts w:hint="eastAsia" w:ascii="Times New Roman" w:hAnsi="Times New Roman" w:eastAsia="黑体" w:cs="Times New Roman"/>
          <w:b w:val="0"/>
          <w:bCs w:val="0"/>
          <w:spacing w:val="-4"/>
          <w:sz w:val="32"/>
          <w:szCs w:val="32"/>
        </w:rPr>
        <w:t>五、存在的主要问题及原因分析</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项目实施过程中支付方式和项目进度的匹配较弱，个别地州预算精准度需要提升。运维性项目的支付进度按照原有的惯例，没有考虑随时间的推进成本已发生，影响监控时资金的执行率，并且和项目完成度之间有较大偏差。</w:t>
      </w:r>
    </w:p>
    <w:p>
      <w:pPr>
        <w:pStyle w:val="11"/>
        <w:snapToGrid w:val="0"/>
        <w:spacing w:line="540" w:lineRule="exact"/>
        <w:ind w:firstLine="624"/>
        <w:rPr>
          <w:rStyle w:val="7"/>
          <w:rFonts w:ascii="Times New Roman" w:hAnsi="Times New Roman" w:eastAsia="黑体" w:cs="Times New Roman"/>
          <w:b w:val="0"/>
          <w:bCs w:val="0"/>
          <w:spacing w:val="-4"/>
          <w:sz w:val="32"/>
          <w:szCs w:val="32"/>
        </w:rPr>
      </w:pPr>
      <w:r>
        <w:rPr>
          <w:rStyle w:val="7"/>
          <w:rFonts w:hint="eastAsia" w:ascii="Times New Roman" w:hAnsi="Times New Roman" w:eastAsia="黑体" w:cs="Times New Roman"/>
          <w:b w:val="0"/>
          <w:bCs w:val="0"/>
          <w:spacing w:val="-4"/>
          <w:sz w:val="32"/>
          <w:szCs w:val="32"/>
        </w:rPr>
        <w:t>六、改进措施和建议</w:t>
      </w:r>
    </w:p>
    <w:p>
      <w:pPr>
        <w:spacing w:line="560" w:lineRule="exact"/>
        <w:ind w:firstLine="643" w:firstLineChars="200"/>
        <w:rPr>
          <w:rFonts w:ascii="仿宋_GB2312" w:hAnsi="仿宋_GB2312" w:eastAsia="仿宋_GB2312" w:cs="仿宋_GB2312"/>
          <w:bCs/>
          <w:kern w:val="0"/>
          <w:sz w:val="32"/>
          <w:szCs w:val="32"/>
        </w:rPr>
      </w:pPr>
      <w:r>
        <w:rPr>
          <w:rFonts w:hint="eastAsia" w:ascii="仿宋_GB2312" w:hAnsi="仿宋_GB2312" w:eastAsia="仿宋_GB2312" w:cs="仿宋_GB2312"/>
          <w:b/>
          <w:kern w:val="0"/>
          <w:sz w:val="32"/>
          <w:szCs w:val="32"/>
        </w:rPr>
        <w:t>一是</w:t>
      </w:r>
      <w:r>
        <w:rPr>
          <w:rFonts w:hint="eastAsia" w:ascii="仿宋_GB2312" w:hAnsi="仿宋_GB2312" w:eastAsia="仿宋_GB2312" w:cs="仿宋_GB2312"/>
          <w:bCs/>
          <w:kern w:val="0"/>
          <w:sz w:val="32"/>
          <w:szCs w:val="32"/>
        </w:rPr>
        <w:t>进一步强化预算绩效管理意识。明确绩效监控工作任务及职责。坚持绩效监控引领业务工作的重要性，深入开展财政绩效管理宣传工作，让预算绩效管理渗透进单位的各项管理中。</w:t>
      </w:r>
    </w:p>
    <w:p>
      <w:pPr>
        <w:spacing w:line="560" w:lineRule="exact"/>
        <w:ind w:firstLine="643" w:firstLineChars="200"/>
        <w:rPr>
          <w:rFonts w:ascii="仿宋_GB2312" w:hAnsi="仿宋_GB2312" w:eastAsia="仿宋_GB2312" w:cs="仿宋_GB2312"/>
          <w:bCs/>
          <w:kern w:val="0"/>
          <w:sz w:val="32"/>
          <w:szCs w:val="32"/>
        </w:rPr>
      </w:pPr>
      <w:r>
        <w:rPr>
          <w:rFonts w:hint="eastAsia" w:ascii="仿宋_GB2312" w:hAnsi="仿宋_GB2312" w:eastAsia="仿宋_GB2312" w:cs="仿宋_GB2312"/>
          <w:b/>
          <w:kern w:val="0"/>
          <w:sz w:val="32"/>
          <w:szCs w:val="32"/>
        </w:rPr>
        <w:t>二是</w:t>
      </w:r>
      <w:r>
        <w:rPr>
          <w:rFonts w:hint="eastAsia" w:ascii="仿宋_GB2312" w:hAnsi="仿宋_GB2312" w:eastAsia="仿宋_GB2312" w:cs="仿宋_GB2312"/>
          <w:bCs/>
          <w:kern w:val="0"/>
          <w:sz w:val="32"/>
          <w:szCs w:val="32"/>
        </w:rPr>
        <w:t>进一步完善预算绩效的管理流程。将绩效目标的设置、监控、评价和应用贯穿于政策或项目的全流程管理当中，形成统一的管理体系和动态调控体系。将绩效管理与预算编制、预算执行相结合，理顺关系，将绩效工作纳入资金申请之前，先明确绩效目标，再申请资金预算，最后根据绩效目标执行情况拨付资金，使绩效管理融入预算管理、财务支出各环节。保证绩效目标更加切合实际并在实践中完善。</w:t>
      </w:r>
    </w:p>
    <w:p>
      <w:pPr>
        <w:spacing w:line="560" w:lineRule="exact"/>
        <w:ind w:firstLine="643" w:firstLineChars="200"/>
        <w:rPr>
          <w:rFonts w:ascii="仿宋_GB2312" w:hAnsi="仿宋_GB2312" w:eastAsia="仿宋_GB2312" w:cs="仿宋_GB2312"/>
          <w:bCs/>
          <w:kern w:val="0"/>
          <w:sz w:val="32"/>
          <w:szCs w:val="32"/>
        </w:rPr>
      </w:pPr>
      <w:r>
        <w:rPr>
          <w:rFonts w:hint="eastAsia" w:ascii="仿宋_GB2312" w:hAnsi="仿宋_GB2312" w:eastAsia="仿宋_GB2312" w:cs="仿宋_GB2312"/>
          <w:b/>
          <w:kern w:val="0"/>
          <w:sz w:val="32"/>
          <w:szCs w:val="32"/>
        </w:rPr>
        <w:t>三是</w:t>
      </w:r>
      <w:r>
        <w:rPr>
          <w:rFonts w:hint="eastAsia" w:ascii="仿宋_GB2312" w:hAnsi="仿宋_GB2312" w:eastAsia="仿宋_GB2312" w:cs="仿宋_GB2312"/>
          <w:bCs/>
          <w:kern w:val="0"/>
          <w:sz w:val="32"/>
          <w:szCs w:val="32"/>
        </w:rPr>
        <w:t>进一步细化预算绩效评估评价方法和手段。针对不同政策和项目的绩效进行有效的评估评价，采用的方式方法更加符合政策和项目的特点。除综合运用成本效益分析法、比较法、因素分析法等方法外，探索市场调查和抽样的方法，提高绩效评估评价结果的准确性和客观性。</w:t>
      </w:r>
    </w:p>
    <w:p>
      <w:pPr>
        <w:pStyle w:val="11"/>
        <w:snapToGrid w:val="0"/>
        <w:spacing w:line="540" w:lineRule="exact"/>
        <w:ind w:left="640" w:firstLine="0" w:firstLineChars="0"/>
        <w:rPr>
          <w:rStyle w:val="7"/>
          <w:rFonts w:ascii="Times New Roman" w:hAnsi="Times New Roman" w:eastAsia="黑体"/>
          <w:b w:val="0"/>
          <w:bCs w:val="0"/>
          <w:spacing w:val="-4"/>
          <w:sz w:val="32"/>
          <w:szCs w:val="32"/>
        </w:rPr>
      </w:pPr>
      <w:r>
        <w:rPr>
          <w:rStyle w:val="7"/>
          <w:rFonts w:hint="eastAsia" w:ascii="Times New Roman" w:hAnsi="Times New Roman" w:eastAsia="黑体"/>
          <w:b w:val="0"/>
          <w:bCs w:val="0"/>
          <w:spacing w:val="-4"/>
          <w:sz w:val="32"/>
          <w:szCs w:val="32"/>
        </w:rPr>
        <w:t>七、附表</w:t>
      </w:r>
    </w:p>
    <w:p>
      <w:pPr>
        <w:pStyle w:val="11"/>
        <w:snapToGrid w:val="0"/>
        <w:spacing w:line="540" w:lineRule="exact"/>
        <w:ind w:left="640" w:firstLine="0" w:firstLineChars="0"/>
        <w:rPr>
          <w:rStyle w:val="7"/>
          <w:rFonts w:ascii="Times New Roman" w:hAnsi="Times New Roman" w:eastAsia="仿宋_GB2312"/>
          <w:b w:val="0"/>
          <w:spacing w:val="-4"/>
          <w:sz w:val="32"/>
          <w:szCs w:val="32"/>
        </w:rPr>
      </w:pPr>
      <w:r>
        <w:rPr>
          <w:rStyle w:val="7"/>
          <w:rFonts w:hint="eastAsia" w:ascii="Times New Roman" w:hAnsi="Times New Roman" w:eastAsia="仿宋_GB2312"/>
          <w:b w:val="0"/>
          <w:spacing w:val="-4"/>
          <w:sz w:val="32"/>
          <w:szCs w:val="32"/>
        </w:rPr>
        <w:t>《自治区医疗保障局</w:t>
      </w:r>
      <w:r>
        <w:rPr>
          <w:rStyle w:val="7"/>
          <w:rFonts w:hint="eastAsia" w:ascii="Times New Roman" w:hAnsi="Times New Roman" w:eastAsia="仿宋_GB2312"/>
          <w:b w:val="0"/>
          <w:bCs w:val="0"/>
          <w:spacing w:val="-4"/>
          <w:sz w:val="32"/>
          <w:szCs w:val="32"/>
        </w:rPr>
        <w:t>整体支出绩效</w:t>
      </w:r>
      <w:r>
        <w:rPr>
          <w:rStyle w:val="7"/>
          <w:rFonts w:hint="eastAsia" w:ascii="Times New Roman" w:hAnsi="Times New Roman" w:eastAsia="仿宋_GB2312"/>
          <w:b w:val="0"/>
          <w:spacing w:val="-4"/>
          <w:sz w:val="32"/>
          <w:szCs w:val="32"/>
        </w:rPr>
        <w:t>目标自</w:t>
      </w:r>
      <w:r>
        <w:rPr>
          <w:rStyle w:val="7"/>
          <w:rFonts w:hint="eastAsia" w:ascii="Times New Roman" w:hAnsi="Times New Roman" w:eastAsia="仿宋_GB2312"/>
          <w:b w:val="0"/>
          <w:bCs w:val="0"/>
          <w:spacing w:val="-4"/>
          <w:sz w:val="32"/>
          <w:szCs w:val="32"/>
        </w:rPr>
        <w:t>评表</w:t>
      </w:r>
      <w:r>
        <w:rPr>
          <w:rStyle w:val="7"/>
          <w:rFonts w:hint="eastAsia" w:ascii="Times New Roman" w:hAnsi="Times New Roman" w:eastAsia="仿宋_GB2312"/>
          <w:b w:val="0"/>
          <w:spacing w:val="-4"/>
          <w:sz w:val="32"/>
          <w:szCs w:val="32"/>
        </w:rPr>
        <w:t>》</w:t>
      </w:r>
    </w:p>
    <w:p>
      <w:pPr>
        <w:ind w:firstLine="624"/>
        <w:rPr>
          <w:rStyle w:val="7"/>
          <w:rFonts w:ascii="Times New Roman" w:hAnsi="Times New Roman" w:eastAsia="仿宋_GB2312"/>
          <w:b w:val="0"/>
          <w:spacing w:val="-4"/>
          <w:sz w:val="32"/>
          <w:szCs w:val="32"/>
        </w:rPr>
      </w:pPr>
      <w:r>
        <w:rPr>
          <w:rStyle w:val="7"/>
          <w:rFonts w:hint="eastAsia" w:ascii="Times New Roman" w:hAnsi="Times New Roman" w:eastAsia="仿宋_GB2312"/>
          <w:b w:val="0"/>
          <w:spacing w:val="-4"/>
          <w:sz w:val="32"/>
          <w:szCs w:val="32"/>
        </w:rPr>
        <w:br w:type="page"/>
      </w:r>
    </w:p>
    <w:p>
      <w:pPr>
        <w:pStyle w:val="11"/>
        <w:snapToGrid w:val="0"/>
        <w:spacing w:line="540" w:lineRule="exact"/>
        <w:ind w:firstLine="0" w:firstLineChars="0"/>
        <w:rPr>
          <w:rStyle w:val="7"/>
          <w:rFonts w:ascii="Times New Roman" w:hAnsi="Times New Roman" w:eastAsia="仿宋_GB2312"/>
          <w:b w:val="0"/>
          <w:spacing w:val="-4"/>
          <w:sz w:val="32"/>
          <w:szCs w:val="32"/>
        </w:rPr>
      </w:pPr>
      <w:r>
        <w:rPr>
          <w:rStyle w:val="7"/>
          <w:rFonts w:hint="eastAsia" w:ascii="Times New Roman" w:hAnsi="Times New Roman" w:eastAsia="仿宋_GB2312"/>
          <w:b w:val="0"/>
          <w:spacing w:val="-4"/>
          <w:sz w:val="32"/>
          <w:szCs w:val="32"/>
        </w:rPr>
        <w:t>附表：</w:t>
      </w:r>
    </w:p>
    <w:tbl>
      <w:tblPr>
        <w:tblStyle w:val="8"/>
        <w:tblW w:w="8522" w:type="dxa"/>
        <w:tblInd w:w="0" w:type="dxa"/>
        <w:tblLayout w:type="fixed"/>
        <w:tblCellMar>
          <w:top w:w="0" w:type="dxa"/>
          <w:left w:w="108" w:type="dxa"/>
          <w:bottom w:w="0" w:type="dxa"/>
          <w:right w:w="108" w:type="dxa"/>
        </w:tblCellMar>
      </w:tblPr>
      <w:tblGrid>
        <w:gridCol w:w="1662"/>
        <w:gridCol w:w="1242"/>
        <w:gridCol w:w="1129"/>
        <w:gridCol w:w="1026"/>
        <w:gridCol w:w="1026"/>
        <w:gridCol w:w="718"/>
        <w:gridCol w:w="851"/>
        <w:gridCol w:w="868"/>
      </w:tblGrid>
      <w:tr>
        <w:tblPrEx>
          <w:tblLayout w:type="fixed"/>
          <w:tblCellMar>
            <w:top w:w="0" w:type="dxa"/>
            <w:left w:w="108" w:type="dxa"/>
            <w:bottom w:w="0" w:type="dxa"/>
            <w:right w:w="108" w:type="dxa"/>
          </w:tblCellMar>
        </w:tblPrEx>
        <w:trPr>
          <w:trHeight w:val="522" w:hRule="atLeast"/>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22"/>
                <w:szCs w:val="22"/>
              </w:rPr>
            </w:pPr>
            <w:r>
              <w:rPr>
                <w:rFonts w:hint="eastAsia" w:ascii="宋体" w:hAnsi="宋体" w:eastAsia="宋体" w:cs="宋体"/>
                <w:b/>
                <w:bCs/>
                <w:color w:val="000000"/>
                <w:kern w:val="0"/>
                <w:sz w:val="22"/>
                <w:szCs w:val="22"/>
              </w:rPr>
              <w:t>自治区医疗保障局整体支出绩效目标自评表</w:t>
            </w:r>
          </w:p>
        </w:tc>
      </w:tr>
      <w:tr>
        <w:tblPrEx>
          <w:tblLayout w:type="fixed"/>
          <w:tblCellMar>
            <w:top w:w="0" w:type="dxa"/>
            <w:left w:w="108" w:type="dxa"/>
            <w:bottom w:w="0" w:type="dxa"/>
            <w:right w:w="108" w:type="dxa"/>
          </w:tblCellMar>
        </w:tblPrEx>
        <w:trPr>
          <w:trHeight w:val="360" w:hRule="atLeast"/>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22"/>
                <w:szCs w:val="22"/>
              </w:rPr>
            </w:pPr>
            <w:r>
              <w:rPr>
                <w:rFonts w:hint="eastAsia" w:ascii="宋体" w:hAnsi="宋体" w:eastAsia="宋体" w:cs="宋体"/>
                <w:b/>
                <w:bCs/>
                <w:color w:val="000000"/>
                <w:kern w:val="0"/>
                <w:sz w:val="22"/>
                <w:szCs w:val="22"/>
              </w:rPr>
              <w:t>（2024年度）</w:t>
            </w:r>
          </w:p>
        </w:tc>
      </w:tr>
      <w:tr>
        <w:tblPrEx>
          <w:tblLayout w:type="fixed"/>
          <w:tblCellMar>
            <w:top w:w="0" w:type="dxa"/>
            <w:left w:w="108" w:type="dxa"/>
            <w:bottom w:w="0" w:type="dxa"/>
            <w:right w:w="108" w:type="dxa"/>
          </w:tblCellMar>
        </w:tblPrEx>
        <w:trPr>
          <w:trHeight w:val="660" w:hRule="atLeast"/>
        </w:trPr>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部门（单位）名称</w:t>
            </w:r>
          </w:p>
        </w:tc>
        <w:tc>
          <w:tcPr>
            <w:tcW w:w="68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22"/>
                <w:szCs w:val="22"/>
              </w:rPr>
            </w:pPr>
            <w:r>
              <w:rPr>
                <w:rFonts w:hint="eastAsia" w:ascii="宋体" w:hAnsi="宋体" w:eastAsia="宋体" w:cs="宋体"/>
                <w:b/>
                <w:bCs/>
                <w:color w:val="000000"/>
                <w:kern w:val="0"/>
                <w:sz w:val="22"/>
                <w:szCs w:val="22"/>
              </w:rPr>
              <w:t>自治区医疗保障局</w:t>
            </w:r>
          </w:p>
        </w:tc>
      </w:tr>
      <w:tr>
        <w:tblPrEx>
          <w:tblLayout w:type="fixed"/>
          <w:tblCellMar>
            <w:top w:w="0" w:type="dxa"/>
            <w:left w:w="108" w:type="dxa"/>
            <w:bottom w:w="0" w:type="dxa"/>
            <w:right w:w="108" w:type="dxa"/>
          </w:tblCellMar>
        </w:tblPrEx>
        <w:trPr>
          <w:trHeight w:val="570" w:hRule="atLeast"/>
        </w:trPr>
        <w:tc>
          <w:tcPr>
            <w:tcW w:w="16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部门资金（万元）</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资金来源</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年初预算数</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全年预算数</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全年执行数</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分值权重</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执行率</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得分</w:t>
            </w:r>
          </w:p>
        </w:tc>
      </w:tr>
      <w:tr>
        <w:tblPrEx>
          <w:tblLayout w:type="fixed"/>
          <w:tblCellMar>
            <w:top w:w="0" w:type="dxa"/>
            <w:left w:w="108" w:type="dxa"/>
            <w:bottom w:w="0" w:type="dxa"/>
            <w:right w:w="108" w:type="dxa"/>
          </w:tblCellMar>
        </w:tblPrEx>
        <w:trPr>
          <w:trHeight w:val="88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b/>
                <w:bCs/>
                <w:color w:val="000000"/>
                <w:sz w:val="18"/>
                <w:szCs w:val="18"/>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年度总资金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207813.72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207813.72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207813.72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10</w:t>
            </w:r>
          </w:p>
        </w:tc>
      </w:tr>
      <w:tr>
        <w:tblPrEx>
          <w:tblLayout w:type="fixed"/>
          <w:tblCellMar>
            <w:top w:w="0" w:type="dxa"/>
            <w:left w:w="108" w:type="dxa"/>
            <w:bottom w:w="0" w:type="dxa"/>
            <w:right w:w="108" w:type="dxa"/>
          </w:tblCellMar>
        </w:tblPrEx>
        <w:trPr>
          <w:trHeight w:val="88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b/>
                <w:bCs/>
                <w:color w:val="000000"/>
                <w:sz w:val="18"/>
                <w:szCs w:val="18"/>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其中:中央安排（万元）</w:t>
            </w:r>
          </w:p>
        </w:tc>
        <w:tc>
          <w:tcPr>
            <w:tcW w:w="1129"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bCs/>
                <w:color w:val="000000"/>
                <w:kern w:val="0"/>
                <w:sz w:val="18"/>
                <w:szCs w:val="18"/>
              </w:rPr>
              <w:t>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r>
      <w:tr>
        <w:tblPrEx>
          <w:tblLayout w:type="fixed"/>
          <w:tblCellMar>
            <w:top w:w="0" w:type="dxa"/>
            <w:left w:w="108" w:type="dxa"/>
            <w:bottom w:w="0" w:type="dxa"/>
            <w:right w:w="108" w:type="dxa"/>
          </w:tblCellMar>
        </w:tblPrEx>
        <w:trPr>
          <w:trHeight w:val="88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b/>
                <w:bCs/>
                <w:color w:val="000000"/>
                <w:sz w:val="18"/>
                <w:szCs w:val="18"/>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自治区安排（万元）</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207813.22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207813.22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207813.22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r>
      <w:tr>
        <w:tblPrEx>
          <w:tblLayout w:type="fixed"/>
          <w:tblCellMar>
            <w:top w:w="0" w:type="dxa"/>
            <w:left w:w="108" w:type="dxa"/>
            <w:bottom w:w="0" w:type="dxa"/>
            <w:right w:w="108" w:type="dxa"/>
          </w:tblCellMar>
        </w:tblPrEx>
        <w:trPr>
          <w:trHeight w:val="88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b/>
                <w:bCs/>
                <w:color w:val="000000"/>
                <w:sz w:val="18"/>
                <w:szCs w:val="18"/>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其他资金（万元）</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0.5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0.5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Cs/>
                <w:color w:val="000000"/>
                <w:sz w:val="18"/>
                <w:szCs w:val="18"/>
              </w:rPr>
            </w:pPr>
            <w:r>
              <w:rPr>
                <w:rFonts w:hint="eastAsia" w:ascii="宋体" w:hAnsi="宋体" w:eastAsia="宋体" w:cs="宋体"/>
                <w:bCs/>
                <w:color w:val="000000"/>
                <w:kern w:val="0"/>
                <w:sz w:val="18"/>
                <w:szCs w:val="18"/>
              </w:rPr>
              <w:t>0.5</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r>
      <w:tr>
        <w:tblPrEx>
          <w:tblLayout w:type="fixed"/>
          <w:tblCellMar>
            <w:top w:w="0" w:type="dxa"/>
            <w:left w:w="108" w:type="dxa"/>
            <w:bottom w:w="0" w:type="dxa"/>
            <w:right w:w="108" w:type="dxa"/>
          </w:tblCellMar>
        </w:tblPrEx>
        <w:trPr>
          <w:trHeight w:val="705" w:hRule="atLeast"/>
        </w:trPr>
        <w:tc>
          <w:tcPr>
            <w:tcW w:w="16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年度总体目标</w:t>
            </w:r>
          </w:p>
        </w:tc>
        <w:tc>
          <w:tcPr>
            <w:tcW w:w="33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预期目标</w:t>
            </w:r>
          </w:p>
        </w:tc>
        <w:tc>
          <w:tcPr>
            <w:tcW w:w="34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实际完成情况</w:t>
            </w:r>
          </w:p>
        </w:tc>
      </w:tr>
      <w:tr>
        <w:tblPrEx>
          <w:tblLayout w:type="fixed"/>
          <w:tblCellMar>
            <w:top w:w="0" w:type="dxa"/>
            <w:left w:w="108" w:type="dxa"/>
            <w:bottom w:w="0" w:type="dxa"/>
            <w:right w:w="108" w:type="dxa"/>
          </w:tblCellMar>
        </w:tblPrEx>
        <w:trPr>
          <w:trHeight w:val="200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b/>
                <w:bCs/>
                <w:color w:val="000000"/>
                <w:sz w:val="18"/>
                <w:szCs w:val="18"/>
              </w:rPr>
            </w:pPr>
          </w:p>
        </w:tc>
        <w:tc>
          <w:tcPr>
            <w:tcW w:w="33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一是坚持全面从严治党，为医疗保障高质量发展提供坚强政治保证；二是突出利民惠民，优化群众保障质量；三是突出优化政策，深化医保改革工作；四是突出集成高效，促进三医协同发展；五是突出提质增效，提升医保服务能力；六是突出数字赋能，强化数据安全，拓展数字信息应用。</w:t>
            </w:r>
          </w:p>
        </w:tc>
        <w:tc>
          <w:tcPr>
            <w:tcW w:w="34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2024年自治区医保局始终坚持以人民为中心，不断深化医疗保障制度改革，医保改革发展态势良好、稳中求进、稳中提质，医保各项工作势头发展良好，成效明显。1、信息化24项指标综合考核全国排名从第29跃升为第3。2、国家医保目录中3088种药品在新疆已落地3074种，药品集采数量位居全国第1。3、全民参保“一人一档”数据库建设位居全国第1，全民参保医保2024年任务完成位居全国第2。4、网络攻防演练全国排名第6。5、2024年全区基本医保参保率稳定在95%左右。各项目标均已完成。</w:t>
            </w:r>
          </w:p>
        </w:tc>
      </w:tr>
      <w:tr>
        <w:tblPrEx>
          <w:tblLayout w:type="fixed"/>
          <w:tblCellMar>
            <w:top w:w="0" w:type="dxa"/>
            <w:left w:w="108" w:type="dxa"/>
            <w:bottom w:w="0" w:type="dxa"/>
            <w:right w:w="108" w:type="dxa"/>
          </w:tblCellMar>
        </w:tblPrEx>
        <w:trPr>
          <w:trHeight w:val="580" w:hRule="atLeast"/>
        </w:trPr>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一级指标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二级指标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三级指标</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预期指标值</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指标值设定依据</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分值权重</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实际完成指标值</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得分</w:t>
            </w:r>
          </w:p>
        </w:tc>
      </w:tr>
      <w:tr>
        <w:tblPrEx>
          <w:tblLayout w:type="fixed"/>
          <w:tblCellMar>
            <w:top w:w="0" w:type="dxa"/>
            <w:left w:w="108" w:type="dxa"/>
            <w:bottom w:w="0" w:type="dxa"/>
            <w:right w:w="108" w:type="dxa"/>
          </w:tblCellMar>
        </w:tblPrEx>
        <w:trPr>
          <w:trHeight w:val="740" w:hRule="atLeast"/>
        </w:trPr>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运行成本</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0" w:hRule="atLeast"/>
        </w:trPr>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管理效率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0" w:hRule="atLeast"/>
        </w:trPr>
        <w:tc>
          <w:tcPr>
            <w:tcW w:w="16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履职效能</w:t>
            </w:r>
          </w:p>
        </w:tc>
        <w:tc>
          <w:tcPr>
            <w:tcW w:w="12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数量指标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基本医疗保险参保人数</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&gt;=2000万人</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自治区医保局工作报告</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2088.09万人</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r>
      <w:tr>
        <w:tblPrEx>
          <w:tblLayout w:type="fixed"/>
          <w:tblCellMar>
            <w:top w:w="0" w:type="dxa"/>
            <w:left w:w="108" w:type="dxa"/>
            <w:bottom w:w="0" w:type="dxa"/>
            <w:right w:w="108" w:type="dxa"/>
          </w:tblCellMar>
        </w:tblPrEx>
        <w:trPr>
          <w:trHeight w:val="96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基金滚存结余可支配月数</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（6－9）个月</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人社部发〔2009〕67号文</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0</w:t>
            </w:r>
            <w:r>
              <w:rPr>
                <w:rFonts w:hint="eastAsia" w:ascii="宋体" w:hAnsi="宋体" w:eastAsia="宋体" w:cs="宋体"/>
                <w:color w:val="000000"/>
                <w:kern w:val="0"/>
                <w:sz w:val="18"/>
                <w:szCs w:val="18"/>
              </w:rPr>
              <w:t>个月</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r>
      <w:tr>
        <w:tblPrEx>
          <w:tblLayout w:type="fixed"/>
          <w:tblCellMar>
            <w:top w:w="0" w:type="dxa"/>
            <w:left w:w="108" w:type="dxa"/>
            <w:bottom w:w="0" w:type="dxa"/>
            <w:right w:w="108" w:type="dxa"/>
          </w:tblCellMar>
        </w:tblPrEx>
        <w:trPr>
          <w:trHeight w:val="74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公立医疗机构通过省级集中采购平台采购药品金额占全部采购药品(不含中药饮片)金额的比例</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&gt;=85%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自治区医保局“十四五”规划</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85%</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r>
      <w:tr>
        <w:tblPrEx>
          <w:tblLayout w:type="fixed"/>
          <w:tblCellMar>
            <w:top w:w="0" w:type="dxa"/>
            <w:left w:w="108" w:type="dxa"/>
            <w:bottom w:w="0" w:type="dxa"/>
            <w:right w:w="108" w:type="dxa"/>
          </w:tblCellMar>
        </w:tblPrEx>
        <w:trPr>
          <w:trHeight w:val="74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2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质量指标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基本医疗保险参保率</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&gt;=95%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国家及自治区“十四五”规划</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95%</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r>
      <w:tr>
        <w:tblPrEx>
          <w:tblLayout w:type="fixed"/>
          <w:tblCellMar>
            <w:top w:w="0" w:type="dxa"/>
            <w:left w:w="108" w:type="dxa"/>
            <w:bottom w:w="0" w:type="dxa"/>
            <w:right w:w="108" w:type="dxa"/>
          </w:tblCellMar>
        </w:tblPrEx>
        <w:trPr>
          <w:trHeight w:val="74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全区支付改革方式覆盖率（统筹地区）</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&gt;=95%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自治区医保局“十四五”规划及工作报告</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r>
      <w:tr>
        <w:tblPrEx>
          <w:tblLayout w:type="fixed"/>
          <w:tblCellMar>
            <w:top w:w="0" w:type="dxa"/>
            <w:left w:w="108" w:type="dxa"/>
            <w:bottom w:w="0" w:type="dxa"/>
            <w:right w:w="108" w:type="dxa"/>
          </w:tblCellMar>
        </w:tblPrEx>
        <w:trPr>
          <w:trHeight w:val="74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职工基本医疗保险政策范围内住院费用基金支付比例</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&gt;=83%</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国家医保局及自治区医保局“十四五”规划</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87.29%</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r>
      <w:tr>
        <w:tblPrEx>
          <w:tblLayout w:type="fixed"/>
          <w:tblCellMar>
            <w:top w:w="0" w:type="dxa"/>
            <w:left w:w="108" w:type="dxa"/>
            <w:bottom w:w="0" w:type="dxa"/>
            <w:right w:w="108" w:type="dxa"/>
          </w:tblCellMar>
        </w:tblPrEx>
        <w:trPr>
          <w:trHeight w:val="740" w:hRule="atLeast"/>
        </w:trPr>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城乡居民医保政策范围内住院费用报销比例</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&gt;=72%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国家医保局及自治区医保局“十四五”规划</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75.57%</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r>
      <w:tr>
        <w:tblPrEx>
          <w:tblLayout w:type="fixed"/>
          <w:tblCellMar>
            <w:top w:w="0" w:type="dxa"/>
            <w:left w:w="108" w:type="dxa"/>
            <w:bottom w:w="0" w:type="dxa"/>
            <w:right w:w="108" w:type="dxa"/>
          </w:tblCellMar>
        </w:tblPrEx>
        <w:trPr>
          <w:trHeight w:val="740" w:hRule="atLeast"/>
        </w:trPr>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社会效益</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0" w:hRule="atLeast"/>
        </w:trPr>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可持续发展能力</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0" w:hRule="atLeast"/>
        </w:trPr>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服务对象满意度</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jc w:val="center"/>
              <w:rPr>
                <w:rFonts w:ascii="宋体" w:hAnsi="宋体" w:eastAsia="宋体" w:cs="宋体"/>
                <w:color w:val="000000"/>
                <w:sz w:val="18"/>
                <w:szCs w:val="18"/>
              </w:rPr>
            </w:pPr>
          </w:p>
        </w:tc>
      </w:tr>
    </w:tbl>
    <w:p>
      <w:pPr>
        <w:pStyle w:val="11"/>
        <w:snapToGrid w:val="0"/>
        <w:spacing w:line="540" w:lineRule="exact"/>
        <w:ind w:firstLine="0" w:firstLineChars="0"/>
        <w:rPr>
          <w:rStyle w:val="7"/>
          <w:rFonts w:ascii="Times New Roman" w:hAnsi="Times New Roman" w:eastAsia="仿宋_GB2312"/>
          <w:b w:val="0"/>
          <w:spacing w:val="-4"/>
          <w:sz w:val="32"/>
          <w:szCs w:val="32"/>
        </w:rPr>
      </w:pPr>
    </w:p>
    <w:sectPr>
      <w:footerReference r:id="rId3" w:type="default"/>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74C569-FABF-45E6-BB97-16F432C1235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B306C51F-7C05-4A86-908F-15B482C08914}"/>
  </w:font>
  <w:font w:name="方正小标宋_GBK">
    <w:panose1 w:val="03000509000000000000"/>
    <w:charset w:val="86"/>
    <w:family w:val="script"/>
    <w:pitch w:val="default"/>
    <w:sig w:usb0="00000001" w:usb1="080E0000" w:usb2="00000000" w:usb3="00000000" w:csb0="00040000" w:csb1="00000000"/>
    <w:embedRegular r:id="rId3" w:fontKey="{5EDD479E-5F21-454D-A527-8B22B02B85E9}"/>
  </w:font>
  <w:font w:name="仿宋_GB2312">
    <w:panose1 w:val="02010609030101010101"/>
    <w:charset w:val="86"/>
    <w:family w:val="modern"/>
    <w:pitch w:val="default"/>
    <w:sig w:usb0="00000000" w:usb1="00000000" w:usb2="00000000" w:usb3="00000000" w:csb0="00000000" w:csb1="00000000"/>
    <w:embedRegular r:id="rId4" w:fontKey="{43C2FB68-0B18-41E5-9585-4EAD135FAFB7}"/>
  </w:font>
  <w:font w:name="方正楷体_GB2312">
    <w:altName w:val="宋体"/>
    <w:panose1 w:val="02000000000000000000"/>
    <w:charset w:val="86"/>
    <w:family w:val="auto"/>
    <w:pitch w:val="default"/>
    <w:sig w:usb0="00000000" w:usb1="00000000" w:usb2="00000012" w:usb3="00000000" w:csb0="00040001" w:csb1="00000000"/>
    <w:embedRegular r:id="rId5" w:fontKey="{695D1B62-E09D-4028-87F8-E34B5E61DAAD}"/>
  </w:font>
  <w:font w:name="楷体">
    <w:panose1 w:val="02010609060101010101"/>
    <w:charset w:val="86"/>
    <w:family w:val="modern"/>
    <w:pitch w:val="default"/>
    <w:sig w:usb0="800002BF" w:usb1="38CF7CFA" w:usb2="00000016" w:usb3="00000000" w:csb0="00040001" w:csb1="00000000"/>
    <w:embedRegular r:id="rId6" w:fontKey="{85D12C58-248D-4ACB-BE9C-872D2D16B1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622"/>
      <w:jc w:val="both"/>
      <w:rPr>
        <w:sz w:val="31"/>
        <w:szCs w:val="3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UwMDMyNjM1NTNlZWRjZDdhMzM2ZmRlM2JlNDQ3NWUifQ=="/>
    <w:docVar w:name="KSO_WPS_MARK_KEY" w:val="40e95650-004b-4697-ae2b-25bffeeac740"/>
  </w:docVars>
  <w:rsids>
    <w:rsidRoot w:val="00633862"/>
    <w:rsid w:val="0007293C"/>
    <w:rsid w:val="000D3AFA"/>
    <w:rsid w:val="0015416B"/>
    <w:rsid w:val="0018343C"/>
    <w:rsid w:val="00185D01"/>
    <w:rsid w:val="00191BA3"/>
    <w:rsid w:val="0022744B"/>
    <w:rsid w:val="003111C8"/>
    <w:rsid w:val="00407CE9"/>
    <w:rsid w:val="00587CFF"/>
    <w:rsid w:val="005B1250"/>
    <w:rsid w:val="006009FB"/>
    <w:rsid w:val="00633862"/>
    <w:rsid w:val="006B57DD"/>
    <w:rsid w:val="006C5BED"/>
    <w:rsid w:val="006E7D7C"/>
    <w:rsid w:val="00702D4A"/>
    <w:rsid w:val="007115C8"/>
    <w:rsid w:val="0076614D"/>
    <w:rsid w:val="00773C26"/>
    <w:rsid w:val="0084743E"/>
    <w:rsid w:val="008559BD"/>
    <w:rsid w:val="00867FFD"/>
    <w:rsid w:val="00907BAA"/>
    <w:rsid w:val="0097614B"/>
    <w:rsid w:val="00A7666C"/>
    <w:rsid w:val="00AA5126"/>
    <w:rsid w:val="00AD16CD"/>
    <w:rsid w:val="00B762AD"/>
    <w:rsid w:val="00C538EC"/>
    <w:rsid w:val="00CC3DE5"/>
    <w:rsid w:val="00CD2F35"/>
    <w:rsid w:val="00D4372F"/>
    <w:rsid w:val="00DB1085"/>
    <w:rsid w:val="00E25667"/>
    <w:rsid w:val="00EA14FA"/>
    <w:rsid w:val="00EB1DAA"/>
    <w:rsid w:val="00F07844"/>
    <w:rsid w:val="00F80B31"/>
    <w:rsid w:val="00F84215"/>
    <w:rsid w:val="010E0C0C"/>
    <w:rsid w:val="016D0077"/>
    <w:rsid w:val="02355837"/>
    <w:rsid w:val="02610413"/>
    <w:rsid w:val="02F019DF"/>
    <w:rsid w:val="02F163A2"/>
    <w:rsid w:val="02FE786C"/>
    <w:rsid w:val="03341650"/>
    <w:rsid w:val="036F2FCB"/>
    <w:rsid w:val="03B2599D"/>
    <w:rsid w:val="043C5F8E"/>
    <w:rsid w:val="049941F3"/>
    <w:rsid w:val="04A60F90"/>
    <w:rsid w:val="04D2103C"/>
    <w:rsid w:val="04D550AF"/>
    <w:rsid w:val="06B83B39"/>
    <w:rsid w:val="06DE29E2"/>
    <w:rsid w:val="07702E6D"/>
    <w:rsid w:val="07A86AAB"/>
    <w:rsid w:val="07C65825"/>
    <w:rsid w:val="09067414"/>
    <w:rsid w:val="09170A81"/>
    <w:rsid w:val="0AC27E84"/>
    <w:rsid w:val="0B0F5B25"/>
    <w:rsid w:val="0B96157D"/>
    <w:rsid w:val="0BD256C9"/>
    <w:rsid w:val="0C1C1B6C"/>
    <w:rsid w:val="0D3F0613"/>
    <w:rsid w:val="0D617282"/>
    <w:rsid w:val="0F661726"/>
    <w:rsid w:val="0F772EC6"/>
    <w:rsid w:val="0F877334"/>
    <w:rsid w:val="10182B28"/>
    <w:rsid w:val="109160DD"/>
    <w:rsid w:val="10947BCD"/>
    <w:rsid w:val="110D797F"/>
    <w:rsid w:val="1111746F"/>
    <w:rsid w:val="114B3E5E"/>
    <w:rsid w:val="115E3FEE"/>
    <w:rsid w:val="11653435"/>
    <w:rsid w:val="116B384E"/>
    <w:rsid w:val="11D3255C"/>
    <w:rsid w:val="11DD16C8"/>
    <w:rsid w:val="124C1A64"/>
    <w:rsid w:val="12A73151"/>
    <w:rsid w:val="130A20A3"/>
    <w:rsid w:val="13352CE1"/>
    <w:rsid w:val="13E07D60"/>
    <w:rsid w:val="150177FB"/>
    <w:rsid w:val="15875F52"/>
    <w:rsid w:val="15B73666"/>
    <w:rsid w:val="15C42D02"/>
    <w:rsid w:val="168A2EA6"/>
    <w:rsid w:val="16A576BF"/>
    <w:rsid w:val="17797B1C"/>
    <w:rsid w:val="17D5194F"/>
    <w:rsid w:val="180A4FDB"/>
    <w:rsid w:val="1840056E"/>
    <w:rsid w:val="18477163"/>
    <w:rsid w:val="192177D8"/>
    <w:rsid w:val="19372F59"/>
    <w:rsid w:val="196A001E"/>
    <w:rsid w:val="198331C0"/>
    <w:rsid w:val="19C92FDD"/>
    <w:rsid w:val="19DB061A"/>
    <w:rsid w:val="19E576EB"/>
    <w:rsid w:val="19FF664E"/>
    <w:rsid w:val="1A091F78"/>
    <w:rsid w:val="1A6D6D72"/>
    <w:rsid w:val="1AEB4D61"/>
    <w:rsid w:val="1C230AC0"/>
    <w:rsid w:val="1C615CEF"/>
    <w:rsid w:val="1CDA72AF"/>
    <w:rsid w:val="1D632B53"/>
    <w:rsid w:val="1D684E9E"/>
    <w:rsid w:val="1D7602A9"/>
    <w:rsid w:val="1DC83D3D"/>
    <w:rsid w:val="1E613949"/>
    <w:rsid w:val="1EAE0073"/>
    <w:rsid w:val="1F195A2C"/>
    <w:rsid w:val="205102FB"/>
    <w:rsid w:val="20762FC4"/>
    <w:rsid w:val="20A442B8"/>
    <w:rsid w:val="212C60E2"/>
    <w:rsid w:val="21DE15EF"/>
    <w:rsid w:val="23021A8B"/>
    <w:rsid w:val="2320540D"/>
    <w:rsid w:val="236E0539"/>
    <w:rsid w:val="23E6478B"/>
    <w:rsid w:val="241112CA"/>
    <w:rsid w:val="2422471A"/>
    <w:rsid w:val="24822706"/>
    <w:rsid w:val="24A85EE5"/>
    <w:rsid w:val="24DB72C2"/>
    <w:rsid w:val="276460F3"/>
    <w:rsid w:val="27660FAF"/>
    <w:rsid w:val="277166D1"/>
    <w:rsid w:val="277B4318"/>
    <w:rsid w:val="27B7194D"/>
    <w:rsid w:val="27E37B45"/>
    <w:rsid w:val="280600C8"/>
    <w:rsid w:val="28081174"/>
    <w:rsid w:val="28481571"/>
    <w:rsid w:val="28722F64"/>
    <w:rsid w:val="289B5D70"/>
    <w:rsid w:val="28A4093D"/>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E43832"/>
    <w:rsid w:val="2DAA6B58"/>
    <w:rsid w:val="2E195385"/>
    <w:rsid w:val="2E4A4A48"/>
    <w:rsid w:val="2F8715FA"/>
    <w:rsid w:val="2FB43990"/>
    <w:rsid w:val="2FC040E2"/>
    <w:rsid w:val="2FCC2A87"/>
    <w:rsid w:val="30143D58"/>
    <w:rsid w:val="30240D0F"/>
    <w:rsid w:val="305E2CE2"/>
    <w:rsid w:val="308158E7"/>
    <w:rsid w:val="309817B5"/>
    <w:rsid w:val="30A86679"/>
    <w:rsid w:val="31505F30"/>
    <w:rsid w:val="3177520D"/>
    <w:rsid w:val="31794E91"/>
    <w:rsid w:val="318727B9"/>
    <w:rsid w:val="31C7249B"/>
    <w:rsid w:val="31FB7654"/>
    <w:rsid w:val="32565D7D"/>
    <w:rsid w:val="336E47B8"/>
    <w:rsid w:val="337D2302"/>
    <w:rsid w:val="33935522"/>
    <w:rsid w:val="33DE0EF4"/>
    <w:rsid w:val="34145C62"/>
    <w:rsid w:val="3416678C"/>
    <w:rsid w:val="34425A0E"/>
    <w:rsid w:val="34486A39"/>
    <w:rsid w:val="34C13400"/>
    <w:rsid w:val="34F32864"/>
    <w:rsid w:val="35386E11"/>
    <w:rsid w:val="35612ABD"/>
    <w:rsid w:val="35AA386B"/>
    <w:rsid w:val="37264059"/>
    <w:rsid w:val="37384A35"/>
    <w:rsid w:val="375B2943"/>
    <w:rsid w:val="38086A4E"/>
    <w:rsid w:val="38C32119"/>
    <w:rsid w:val="38CF5396"/>
    <w:rsid w:val="38E5768C"/>
    <w:rsid w:val="38EE054F"/>
    <w:rsid w:val="39440A0C"/>
    <w:rsid w:val="398443D3"/>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4332E1A"/>
    <w:rsid w:val="44692B43"/>
    <w:rsid w:val="44BF2CE3"/>
    <w:rsid w:val="44BF6C07"/>
    <w:rsid w:val="45E616DF"/>
    <w:rsid w:val="462C7B1B"/>
    <w:rsid w:val="46BF2EEE"/>
    <w:rsid w:val="47013FF5"/>
    <w:rsid w:val="484A2C8B"/>
    <w:rsid w:val="48500FEB"/>
    <w:rsid w:val="49284D7B"/>
    <w:rsid w:val="49543DC1"/>
    <w:rsid w:val="4A0F39E7"/>
    <w:rsid w:val="4A2D2262"/>
    <w:rsid w:val="4B364032"/>
    <w:rsid w:val="4B3B68BB"/>
    <w:rsid w:val="4B443785"/>
    <w:rsid w:val="4B537C75"/>
    <w:rsid w:val="4C431ECB"/>
    <w:rsid w:val="4C4C603D"/>
    <w:rsid w:val="4CC33C9F"/>
    <w:rsid w:val="4E760D0B"/>
    <w:rsid w:val="4E8F65E3"/>
    <w:rsid w:val="4EC80245"/>
    <w:rsid w:val="4ED65AC3"/>
    <w:rsid w:val="4F596A69"/>
    <w:rsid w:val="4FAB04B3"/>
    <w:rsid w:val="50063DD3"/>
    <w:rsid w:val="505863A4"/>
    <w:rsid w:val="50591CBD"/>
    <w:rsid w:val="50A240F7"/>
    <w:rsid w:val="51273D95"/>
    <w:rsid w:val="51971C1E"/>
    <w:rsid w:val="51FF2E33"/>
    <w:rsid w:val="525877BC"/>
    <w:rsid w:val="5272504D"/>
    <w:rsid w:val="52CA50F4"/>
    <w:rsid w:val="543D24BF"/>
    <w:rsid w:val="548754B8"/>
    <w:rsid w:val="54CA318A"/>
    <w:rsid w:val="55517AB0"/>
    <w:rsid w:val="563B24F6"/>
    <w:rsid w:val="564F2E47"/>
    <w:rsid w:val="57192BB8"/>
    <w:rsid w:val="5734671F"/>
    <w:rsid w:val="57423EBA"/>
    <w:rsid w:val="57813298"/>
    <w:rsid w:val="57BB500C"/>
    <w:rsid w:val="58753EBA"/>
    <w:rsid w:val="58E426FC"/>
    <w:rsid w:val="58FC3B2E"/>
    <w:rsid w:val="59063548"/>
    <w:rsid w:val="5A6776CD"/>
    <w:rsid w:val="5ADD1E8F"/>
    <w:rsid w:val="5AE6303A"/>
    <w:rsid w:val="5B155A7C"/>
    <w:rsid w:val="5B442B97"/>
    <w:rsid w:val="5B977B3E"/>
    <w:rsid w:val="5C052271"/>
    <w:rsid w:val="5C5B0B6B"/>
    <w:rsid w:val="5CB643E4"/>
    <w:rsid w:val="5D7D6D6E"/>
    <w:rsid w:val="5D8D11F8"/>
    <w:rsid w:val="5E12527D"/>
    <w:rsid w:val="5E2D5305"/>
    <w:rsid w:val="5EE070BC"/>
    <w:rsid w:val="5F1D65AC"/>
    <w:rsid w:val="5F230066"/>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B1003"/>
    <w:rsid w:val="64AD2180"/>
    <w:rsid w:val="64F46001"/>
    <w:rsid w:val="658E5B0E"/>
    <w:rsid w:val="65D86017"/>
    <w:rsid w:val="65E6594A"/>
    <w:rsid w:val="660E1EAC"/>
    <w:rsid w:val="661600DA"/>
    <w:rsid w:val="66C7096D"/>
    <w:rsid w:val="66DF5346"/>
    <w:rsid w:val="66E14AAB"/>
    <w:rsid w:val="6736630B"/>
    <w:rsid w:val="67EE0E11"/>
    <w:rsid w:val="687F5BE1"/>
    <w:rsid w:val="68DF3109"/>
    <w:rsid w:val="693F2885"/>
    <w:rsid w:val="699F5DE9"/>
    <w:rsid w:val="6A9776F8"/>
    <w:rsid w:val="6AAF0A00"/>
    <w:rsid w:val="6AEF34F2"/>
    <w:rsid w:val="6B234F4A"/>
    <w:rsid w:val="6B6F5FA2"/>
    <w:rsid w:val="6C427C75"/>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C3C20"/>
    <w:rsid w:val="71CD052F"/>
    <w:rsid w:val="73740A39"/>
    <w:rsid w:val="742B746E"/>
    <w:rsid w:val="74446650"/>
    <w:rsid w:val="74736F42"/>
    <w:rsid w:val="74CA7F29"/>
    <w:rsid w:val="752B1D3E"/>
    <w:rsid w:val="75913D16"/>
    <w:rsid w:val="763C0048"/>
    <w:rsid w:val="77026F16"/>
    <w:rsid w:val="77135965"/>
    <w:rsid w:val="77262B54"/>
    <w:rsid w:val="772D4414"/>
    <w:rsid w:val="773A5C43"/>
    <w:rsid w:val="775947BB"/>
    <w:rsid w:val="77651EFD"/>
    <w:rsid w:val="77AD276B"/>
    <w:rsid w:val="77B87094"/>
    <w:rsid w:val="77C96E08"/>
    <w:rsid w:val="79500F4C"/>
    <w:rsid w:val="7986195D"/>
    <w:rsid w:val="79E005EE"/>
    <w:rsid w:val="7A044DC4"/>
    <w:rsid w:val="7A434CC1"/>
    <w:rsid w:val="7A6D2463"/>
    <w:rsid w:val="7A865511"/>
    <w:rsid w:val="7AA20E97"/>
    <w:rsid w:val="7AAA4D40"/>
    <w:rsid w:val="7ABC4A73"/>
    <w:rsid w:val="7AC10876"/>
    <w:rsid w:val="7AF9794B"/>
    <w:rsid w:val="7B2F16E9"/>
    <w:rsid w:val="7B334ED0"/>
    <w:rsid w:val="7C4B6886"/>
    <w:rsid w:val="7C71236F"/>
    <w:rsid w:val="7C7B25BC"/>
    <w:rsid w:val="7C8D2B6B"/>
    <w:rsid w:val="7D55069E"/>
    <w:rsid w:val="7D670C49"/>
    <w:rsid w:val="7D711B45"/>
    <w:rsid w:val="7E5F5E41"/>
    <w:rsid w:val="7E78432D"/>
    <w:rsid w:val="7E8E02D3"/>
    <w:rsid w:val="7E9F29C9"/>
    <w:rsid w:val="7EA902C5"/>
    <w:rsid w:val="7EAA3560"/>
    <w:rsid w:val="7ECF553C"/>
    <w:rsid w:val="7EF10E29"/>
    <w:rsid w:val="7FB36445"/>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99"/>
    <w:pPr>
      <w:jc w:val="center"/>
    </w:pPr>
    <w:rPr>
      <w:rFonts w:ascii="Calibri" w:hAnsi="Calibri" w:eastAsia="方正小标宋简体"/>
      <w:b/>
      <w:bCs/>
      <w:sz w:val="44"/>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styleId="11">
    <w:name w:val="List Paragraph"/>
    <w:basedOn w:val="1"/>
    <w:unhideWhenUsed/>
    <w:qFormat/>
    <w:uiPriority w:val="99"/>
    <w:pPr>
      <w:ind w:firstLine="420" w:firstLineChars="200"/>
    </w:pPr>
  </w:style>
  <w:style w:type="character" w:customStyle="1" w:styleId="12">
    <w:name w:val="font71"/>
    <w:basedOn w:val="6"/>
    <w:qFormat/>
    <w:uiPriority w:val="0"/>
    <w:rPr>
      <w:rFonts w:hint="eastAsia" w:ascii="宋体" w:hAnsi="宋体" w:eastAsia="宋体" w:cs="宋体"/>
      <w:b/>
      <w:bCs/>
      <w:color w:val="000000"/>
      <w:sz w:val="24"/>
      <w:szCs w:val="24"/>
      <w:u w:val="none"/>
    </w:rPr>
  </w:style>
  <w:style w:type="character" w:customStyle="1" w:styleId="13">
    <w:name w:val="font31"/>
    <w:basedOn w:val="6"/>
    <w:qFormat/>
    <w:uiPriority w:val="0"/>
    <w:rPr>
      <w:rFonts w:hint="eastAsia" w:ascii="宋体" w:hAnsi="宋体" w:eastAsia="宋体" w:cs="宋体"/>
      <w:color w:val="000000"/>
      <w:sz w:val="20"/>
      <w:szCs w:val="20"/>
      <w:u w:val="none"/>
    </w:rPr>
  </w:style>
  <w:style w:type="paragraph" w:customStyle="1" w:styleId="14">
    <w:name w:val="正文：首行缩进2字符"/>
    <w:basedOn w:val="1"/>
    <w:qFormat/>
    <w:uiPriority w:val="0"/>
    <w:pPr>
      <w:spacing w:line="360" w:lineRule="atLeast"/>
      <w:ind w:firstLine="420"/>
    </w:pPr>
    <w:rPr>
      <w:rFonts w:cs="宋体"/>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6752</Words>
  <Characters>7340</Characters>
  <Lines>54</Lines>
  <Paragraphs>15</Paragraphs>
  <TotalTime>24</TotalTime>
  <ScaleCrop>false</ScaleCrop>
  <LinksUpToDate>false</LinksUpToDate>
  <CharactersWithSpaces>7358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lenovo</cp:lastModifiedBy>
  <cp:lastPrinted>2024-03-04T11:32:00Z</cp:lastPrinted>
  <dcterms:modified xsi:type="dcterms:W3CDTF">2025-08-13T08:23:17Z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y fmtid="{D5CDD505-2E9C-101B-9397-08002B2CF9AE}" pid="3" name="ICV">
    <vt:lpwstr>C2C44AE03AD34E88816492FE5882C315_13</vt:lpwstr>
  </property>
  <property fmtid="{D5CDD505-2E9C-101B-9397-08002B2CF9AE}" pid="4" name="KSOTemplateDocerSaveRecord">
    <vt:lpwstr>eyJoZGlkIjoiZjFmZWIzNDg2MmIzZjExOTIzMmViNTBmYTMwYTk0ZWYiLCJ1c2VySWQiOiI0MTgzMjQ1MDUifQ==</vt:lpwstr>
  </property>
</Properties>
</file>